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93" w:rsidRDefault="00BF0193">
      <w:pPr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bookmarkStart w:id="0" w:name="_heading=h.gjdgxs"/>
      <w:bookmarkEnd w:id="0"/>
    </w:p>
    <w:p w:rsidR="00BF0193" w:rsidRDefault="00EA4766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 O</w:t>
      </w:r>
      <w:r w:rsidR="00D1351F">
        <w:rPr>
          <w:rFonts w:ascii="Arial" w:eastAsia="Arial" w:hAnsi="Arial" w:cs="Arial"/>
          <w:b/>
          <w:sz w:val="20"/>
          <w:szCs w:val="20"/>
          <w:u w:val="single"/>
        </w:rPr>
        <w:t>płat</w:t>
      </w:r>
      <w:r>
        <w:rPr>
          <w:rFonts w:ascii="Arial" w:eastAsia="Arial" w:hAnsi="Arial" w:cs="Arial"/>
          <w:b/>
          <w:sz w:val="20"/>
          <w:szCs w:val="20"/>
          <w:u w:val="single"/>
        </w:rPr>
        <w:t>y</w:t>
      </w:r>
      <w:r w:rsidR="00D1351F">
        <w:rPr>
          <w:rFonts w:ascii="Arial" w:eastAsia="Arial" w:hAnsi="Arial" w:cs="Arial"/>
          <w:b/>
          <w:sz w:val="20"/>
          <w:szCs w:val="20"/>
          <w:u w:val="single"/>
        </w:rPr>
        <w:t xml:space="preserve"> dla studentów rozpoczynających studia w roku akademickim 2024/2025</w:t>
      </w:r>
    </w:p>
    <w:p w:rsidR="00BF0193" w:rsidRDefault="00BF0193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:rsidR="00BF0193" w:rsidRDefault="00D1351F">
      <w:pPr>
        <w:jc w:val="center"/>
        <w:rPr>
          <w:rFonts w:ascii="Arial" w:eastAsia="Arial" w:hAnsi="Arial" w:cs="Arial"/>
          <w:b/>
          <w:sz w:val="22"/>
          <w:szCs w:val="22"/>
          <w:lang w:val="en-US"/>
        </w:rPr>
      </w:pPr>
      <w:r>
        <w:rPr>
          <w:rFonts w:ascii="Arial" w:eastAsia="Arial" w:hAnsi="Arial" w:cs="Arial"/>
          <w:b/>
          <w:sz w:val="22"/>
          <w:szCs w:val="22"/>
          <w:lang w:val="en-US"/>
        </w:rPr>
        <w:t>JEDNOSTKA DYDAKTYCZNA  WYDZIAŁ PEDAGOGICZNY</w:t>
      </w:r>
    </w:p>
    <w:p w:rsidR="00BF0193" w:rsidRDefault="00BF0193">
      <w:pPr>
        <w:jc w:val="center"/>
        <w:rPr>
          <w:rFonts w:ascii="Arial" w:eastAsia="Arial" w:hAnsi="Arial" w:cs="Arial"/>
          <w:b/>
          <w:sz w:val="22"/>
          <w:szCs w:val="22"/>
          <w:lang w:val="en-US"/>
        </w:rPr>
      </w:pPr>
    </w:p>
    <w:p w:rsidR="00BF0193" w:rsidRDefault="00D1351F">
      <w:pPr>
        <w:jc w:val="center"/>
        <w:rPr>
          <w:rFonts w:ascii="Arial" w:eastAsia="Arial" w:hAnsi="Arial" w:cs="Arial"/>
          <w:b/>
          <w:sz w:val="22"/>
          <w:szCs w:val="22"/>
          <w:lang w:val="en-US"/>
        </w:rPr>
      </w:pPr>
      <w:proofErr w:type="spellStart"/>
      <w:r>
        <w:rPr>
          <w:rFonts w:ascii="Arial" w:eastAsia="Arial" w:hAnsi="Arial" w:cs="Arial"/>
          <w:b/>
          <w:sz w:val="22"/>
          <w:szCs w:val="22"/>
          <w:lang w:val="en-US"/>
        </w:rPr>
        <w:t>kierunek</w:t>
      </w:r>
      <w:proofErr w:type="spellEnd"/>
      <w:r>
        <w:rPr>
          <w:rFonts w:ascii="Arial" w:eastAsia="Arial" w:hAnsi="Arial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  <w:lang w:val="en-US"/>
        </w:rPr>
        <w:t>studiów</w:t>
      </w:r>
      <w:proofErr w:type="spellEnd"/>
      <w:r>
        <w:rPr>
          <w:rFonts w:ascii="Arial" w:eastAsia="Arial" w:hAnsi="Arial" w:cs="Arial"/>
          <w:b/>
          <w:sz w:val="22"/>
          <w:szCs w:val="22"/>
          <w:lang w:val="en-US"/>
        </w:rPr>
        <w:t xml:space="preserve">:  Graduate </w:t>
      </w:r>
      <w:proofErr w:type="spellStart"/>
      <w:r>
        <w:rPr>
          <w:rFonts w:ascii="Arial" w:eastAsia="Arial" w:hAnsi="Arial" w:cs="Arial"/>
          <w:b/>
          <w:sz w:val="22"/>
          <w:szCs w:val="22"/>
          <w:lang w:val="en-US"/>
        </w:rPr>
        <w:t>Programme</w:t>
      </w:r>
      <w:proofErr w:type="spellEnd"/>
      <w:r>
        <w:rPr>
          <w:rFonts w:ascii="Arial" w:eastAsia="Arial" w:hAnsi="Arial" w:cs="Arial"/>
          <w:b/>
          <w:sz w:val="22"/>
          <w:szCs w:val="22"/>
          <w:lang w:val="en-US"/>
        </w:rPr>
        <w:t xml:space="preserve"> in Teaching English for Young Learners, </w:t>
      </w:r>
    </w:p>
    <w:tbl>
      <w:tblPr>
        <w:tblW w:w="10455" w:type="dxa"/>
        <w:tblLayout w:type="fixed"/>
        <w:tblLook w:val="0000" w:firstRow="0" w:lastRow="0" w:firstColumn="0" w:lastColumn="0" w:noHBand="0" w:noVBand="0"/>
      </w:tblPr>
      <w:tblGrid>
        <w:gridCol w:w="600"/>
        <w:gridCol w:w="7980"/>
        <w:gridCol w:w="1875"/>
      </w:tblGrid>
      <w:tr w:rsidR="00BF019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Tytuł opłaty – rodzaj usługi edukacyjnej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BF0193">
        <w:trPr>
          <w:trHeight w:val="7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Studia stacjonarne w języku obcym:</w:t>
            </w:r>
          </w:p>
          <w:p w:rsidR="00BF0193" w:rsidRDefault="00D1351F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opłata za rok studiów dla studentów-cudzoziemców spoza państwa członkowskiego Unii Europejskiej, Konfederacji Szwajcarskiej lub państwa członkowskiego Europejskiego porozumienia o Wolnym Handlu (EFTA)-strony umowy o Europejskim Obszarze Gospodarczym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39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drugiego stopnia – opłata za rok studiów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7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3000 €</w:t>
            </w: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7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opłata w dwóch ratach – łącznie, w tym: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3100 €</w:t>
            </w: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1550 €</w:t>
            </w: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1550 €</w:t>
            </w: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7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opłata w trzech ratach – łącznie, w tym: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3150 €</w:t>
            </w: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1350 €</w:t>
            </w: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1000 €</w:t>
            </w: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800 €</w:t>
            </w: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Studia stacjonarne w języku obcym: opłata za rok studiów dla studentów z państwa członkowskiego Unii Europejskiej, Konfederacji Szwajcarskiej lub państwa członkowskiego Europejskiego Porozumienia o Wolnym Handlu (EFTA)-strony umowy o Europejskim Obszarze Gospodarczym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39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drugiego stopnia – opłata za rok studiów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7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1500 €</w:t>
            </w: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7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opłata w dwóch ratach – łącznie, w tym: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1700 €</w:t>
            </w: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1000 €</w:t>
            </w: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700 €</w:t>
            </w: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7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opłata w trzech ratach – łącznie, w tym: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1800 €</w:t>
            </w: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900 €</w:t>
            </w:r>
          </w:p>
        </w:tc>
      </w:tr>
      <w:tr w:rsidR="00BF0193">
        <w:trPr>
          <w:trHeight w:val="274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500 €</w:t>
            </w: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400 €</w:t>
            </w:r>
          </w:p>
        </w:tc>
      </w:tr>
      <w:tr w:rsidR="00BF0193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2)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Powtarzanie zajęć:</w:t>
            </w:r>
          </w:p>
          <w:p w:rsidR="00BF0193" w:rsidRDefault="00BF019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powtarzanie roku studiów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stacjonarnych drugiego stopnia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suma opłat za każdy powtarzany przedmiot nie więcej jednak niż 5800 zł</w:t>
            </w:r>
          </w:p>
        </w:tc>
      </w:tr>
      <w:tr w:rsidR="00BF0193"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powtarzanie w całości przedmiotu semestralnego (30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godz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studia stacjonarne.)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 zł</w:t>
            </w:r>
          </w:p>
        </w:tc>
      </w:tr>
      <w:tr w:rsidR="00BF0193"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rocznego (60 godz. studia stacjonarne)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1000 zł</w:t>
            </w:r>
          </w:p>
        </w:tc>
      </w:tr>
      <w:tr w:rsidR="00BF0193"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w wymiarze roku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1000 zł</w:t>
            </w:r>
          </w:p>
        </w:tc>
      </w:tr>
      <w:tr w:rsidR="00BF0193"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stacjonarnych drugiego stopnia – opłata za rok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BF0193" w:rsidRDefault="00BF0193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BF0193" w:rsidRDefault="00BF0193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BF0193" w:rsidRDefault="00BF0193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BF0193" w:rsidRDefault="00D1351F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580 zł</w:t>
            </w:r>
          </w:p>
        </w:tc>
      </w:tr>
      <w:tr w:rsidR="00BF0193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Zajęcia nieobjęte programem studiów:</w:t>
            </w:r>
          </w:p>
          <w:p w:rsidR="00BF0193" w:rsidRDefault="00BF0193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BF0193" w:rsidRDefault="00D1351F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– opłata za rok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BF0193" w:rsidRDefault="00BF019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 zł</w:t>
            </w:r>
          </w:p>
        </w:tc>
      </w:tr>
      <w:tr w:rsidR="00BF0193"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zajęcia uzupełniające efekty uczenia się niezbędne do podjęcia studiów drugiego stopnia na określonym kierunku – 30 godzin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 zł</w:t>
            </w:r>
          </w:p>
        </w:tc>
      </w:tr>
    </w:tbl>
    <w:p w:rsidR="00BF0193" w:rsidRDefault="00BF0193">
      <w:pPr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W w:w="9367" w:type="dxa"/>
        <w:tblInd w:w="367" w:type="dxa"/>
        <w:tblLayout w:type="fixed"/>
        <w:tblLook w:val="0400" w:firstRow="0" w:lastRow="0" w:firstColumn="0" w:lastColumn="0" w:noHBand="0" w:noVBand="1"/>
      </w:tblPr>
      <w:tblGrid>
        <w:gridCol w:w="2149"/>
        <w:gridCol w:w="1723"/>
        <w:gridCol w:w="1809"/>
        <w:gridCol w:w="1877"/>
        <w:gridCol w:w="1809"/>
      </w:tblGrid>
      <w:tr w:rsidR="00BF0193">
        <w:trPr>
          <w:trHeight w:val="300"/>
        </w:trPr>
        <w:tc>
          <w:tcPr>
            <w:tcW w:w="2149" w:type="dxa"/>
            <w:vAlign w:val="center"/>
          </w:tcPr>
          <w:p w:rsidR="00BF0193" w:rsidRDefault="00D1351F" w:rsidP="00983E11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ł</w:t>
            </w:r>
          </w:p>
        </w:tc>
        <w:tc>
          <w:tcPr>
            <w:tcW w:w="1723" w:type="dxa"/>
            <w:vAlign w:val="center"/>
          </w:tcPr>
          <w:p w:rsidR="00BF0193" w:rsidRDefault="00BF0193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BF0193" w:rsidRDefault="00BF0193" w:rsidP="00983E11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BF0193" w:rsidRDefault="00BF0193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BF0193" w:rsidRDefault="00BF0193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F0193">
        <w:trPr>
          <w:trHeight w:val="300"/>
        </w:trPr>
        <w:tc>
          <w:tcPr>
            <w:tcW w:w="2149" w:type="dxa"/>
            <w:vAlign w:val="center"/>
          </w:tcPr>
          <w:p w:rsidR="00BF0193" w:rsidRDefault="00BF0193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BF0193" w:rsidRDefault="00BF01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BF0193" w:rsidRDefault="00BF01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BF0193" w:rsidRDefault="00BF01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BF0193" w:rsidRDefault="00BF0193">
            <w:pPr>
              <w:widowControl w:val="0"/>
              <w:rPr>
                <w:sz w:val="20"/>
                <w:szCs w:val="20"/>
              </w:rPr>
            </w:pPr>
          </w:p>
        </w:tc>
      </w:tr>
      <w:tr w:rsidR="00BF0193">
        <w:trPr>
          <w:trHeight w:val="429"/>
        </w:trPr>
        <w:tc>
          <w:tcPr>
            <w:tcW w:w="2149" w:type="dxa"/>
            <w:vAlign w:val="center"/>
          </w:tcPr>
          <w:p w:rsidR="00BF0193" w:rsidRDefault="00BF0193" w:rsidP="00983E1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BF0193" w:rsidRDefault="00BF019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BF0193" w:rsidRDefault="00BF0193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BF0193" w:rsidRDefault="00BF019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BF0193" w:rsidRDefault="00BF0193" w:rsidP="00983E1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:rsidR="00BF0193" w:rsidRDefault="00BF0193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:rsidR="00BF0193" w:rsidRDefault="00BF0193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:rsidR="00BF0193" w:rsidRDefault="00BF0193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:rsidR="00BF0193" w:rsidRDefault="00BF0193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:rsidR="00BF0193" w:rsidRDefault="00BF0193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:rsidR="00BF0193" w:rsidRDefault="00BF0193">
      <w:pPr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BF0193" w:rsidRDefault="00BF0193">
      <w:pPr>
        <w:ind w:left="360"/>
        <w:jc w:val="both"/>
        <w:rPr>
          <w:rFonts w:ascii="Arial" w:eastAsia="Arial" w:hAnsi="Arial" w:cs="Arial"/>
          <w:sz w:val="20"/>
          <w:szCs w:val="20"/>
        </w:rPr>
      </w:pPr>
    </w:p>
    <w:sectPr w:rsidR="00BF019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66" w:right="907" w:bottom="766" w:left="907" w:header="709" w:footer="709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2D" w:rsidRDefault="009E6B2D">
      <w:r>
        <w:separator/>
      </w:r>
    </w:p>
  </w:endnote>
  <w:endnote w:type="continuationSeparator" w:id="0">
    <w:p w:rsidR="009E6B2D" w:rsidRDefault="009E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193" w:rsidRDefault="00D1351F">
    <w:pPr>
      <w:tabs>
        <w:tab w:val="center" w:pos="4536"/>
        <w:tab w:val="right" w:pos="9072"/>
      </w:tabs>
      <w:jc w:val="right"/>
      <w:rPr>
        <w:rFonts w:eastAsia="Times New Roman" w:cs="Times New Roman"/>
        <w:color w:val="000000"/>
      </w:rPr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BF0193" w:rsidRDefault="00D1351F">
    <w:pPr>
      <w:tabs>
        <w:tab w:val="center" w:pos="4536"/>
        <w:tab w:val="right" w:pos="9072"/>
      </w:tabs>
      <w:jc w:val="right"/>
      <w:rPr>
        <w:rFonts w:eastAsia="Times New Roman" w:cs="Times New Roman"/>
        <w:color w:val="000000"/>
      </w:rPr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BF0193" w:rsidRDefault="00BF0193">
    <w:pPr>
      <w:tabs>
        <w:tab w:val="center" w:pos="4536"/>
        <w:tab w:val="right" w:pos="9072"/>
      </w:tabs>
      <w:ind w:right="360"/>
      <w:rPr>
        <w:rFonts w:eastAsia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193" w:rsidRDefault="00D1351F">
    <w:pPr>
      <w:tabs>
        <w:tab w:val="center" w:pos="4536"/>
        <w:tab w:val="right" w:pos="9072"/>
      </w:tabs>
      <w:jc w:val="right"/>
      <w:rPr>
        <w:rFonts w:eastAsia="Times New Roman" w:cs="Times New Roman"/>
        <w:color w:val="000000"/>
      </w:rPr>
    </w:pPr>
    <w:r>
      <w:fldChar w:fldCharType="begin"/>
    </w:r>
    <w:r>
      <w:instrText>PAGE</w:instrText>
    </w:r>
    <w:r>
      <w:fldChar w:fldCharType="separate"/>
    </w:r>
    <w:r w:rsidR="00983E11">
      <w:rPr>
        <w:noProof/>
      </w:rPr>
      <w:t>2</w:t>
    </w:r>
    <w:r>
      <w:fldChar w:fldCharType="end"/>
    </w:r>
  </w:p>
  <w:p w:rsidR="00BF0193" w:rsidRDefault="00BF0193">
    <w:pPr>
      <w:tabs>
        <w:tab w:val="center" w:pos="4536"/>
        <w:tab w:val="right" w:pos="9072"/>
      </w:tabs>
      <w:ind w:right="360"/>
      <w:rPr>
        <w:rFonts w:eastAsia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193" w:rsidRDefault="00D1351F">
    <w:pPr>
      <w:tabs>
        <w:tab w:val="center" w:pos="4536"/>
        <w:tab w:val="right" w:pos="9072"/>
      </w:tabs>
      <w:jc w:val="right"/>
      <w:rPr>
        <w:rFonts w:eastAsia="Times New Roman" w:cs="Times New Roman"/>
        <w:color w:val="000000"/>
      </w:rPr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:rsidR="00BF0193" w:rsidRDefault="00BF0193">
    <w:pPr>
      <w:tabs>
        <w:tab w:val="center" w:pos="4536"/>
        <w:tab w:val="right" w:pos="9072"/>
      </w:tabs>
      <w:ind w:right="360"/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2D" w:rsidRDefault="009E6B2D">
      <w:r>
        <w:separator/>
      </w:r>
    </w:p>
  </w:footnote>
  <w:footnote w:type="continuationSeparator" w:id="0">
    <w:p w:rsidR="009E6B2D" w:rsidRDefault="009E6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193" w:rsidRDefault="00D1351F">
    <w:pP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Załącznik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F0193"/>
    <w:rsid w:val="00396B53"/>
    <w:rsid w:val="00515E6D"/>
    <w:rsid w:val="00983E11"/>
    <w:rsid w:val="009E6B2D"/>
    <w:rsid w:val="00BF0193"/>
    <w:rsid w:val="00D1351F"/>
    <w:rsid w:val="00EA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5A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qFormat/>
    <w:rsid w:val="00A3136C"/>
    <w:rPr>
      <w:sz w:val="16"/>
      <w:szCs w:val="16"/>
    </w:rPr>
  </w:style>
  <w:style w:type="character" w:styleId="Numerstrony">
    <w:name w:val="page number"/>
    <w:basedOn w:val="Domylnaczcionkaakapitu"/>
    <w:qFormat/>
    <w:rsid w:val="00B656DB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1A179E"/>
    <w:rPr>
      <w:vertAlign w:val="superscript"/>
    </w:rPr>
  </w:style>
  <w:style w:type="character" w:customStyle="1" w:styleId="Nagwek2Znak">
    <w:name w:val="Nagłówek 2 Znak"/>
    <w:link w:val="Nagwek2"/>
    <w:semiHidden/>
    <w:qFormat/>
    <w:rsid w:val="00A75A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komentarzaZnak">
    <w:name w:val="Tekst komentarza Znak"/>
    <w:link w:val="Tekstkomentarza"/>
    <w:semiHidden/>
    <w:qFormat/>
    <w:locked/>
    <w:rsid w:val="000A0363"/>
  </w:style>
  <w:style w:type="paragraph" w:styleId="Nagwek">
    <w:name w:val="header"/>
    <w:basedOn w:val="Normalny"/>
    <w:next w:val="Tekstpodstawowy"/>
    <w:rsid w:val="00B45AD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LO-normal">
    <w:name w:val="LO-normal"/>
    <w:qFormat/>
  </w:style>
  <w:style w:type="paragraph" w:styleId="Tytu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komentarza">
    <w:name w:val="annotation text"/>
    <w:basedOn w:val="Normalny"/>
    <w:link w:val="TekstkomentarzaZnak"/>
    <w:semiHidden/>
    <w:qFormat/>
    <w:rsid w:val="00A313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sid w:val="00A3136C"/>
    <w:rPr>
      <w:b/>
      <w:bCs/>
    </w:rPr>
  </w:style>
  <w:style w:type="paragraph" w:styleId="Tekstdymka">
    <w:name w:val="Balloon Text"/>
    <w:basedOn w:val="Normalny"/>
    <w:semiHidden/>
    <w:qFormat/>
    <w:rsid w:val="00A3136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45AD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1A179E"/>
    <w:rPr>
      <w:sz w:val="20"/>
      <w:szCs w:val="20"/>
    </w:rPr>
  </w:style>
  <w:style w:type="paragraph" w:styleId="Bezodstpw">
    <w:name w:val="No Spacing"/>
    <w:uiPriority w:val="1"/>
    <w:qFormat/>
    <w:rsid w:val="00096758"/>
  </w:style>
  <w:style w:type="paragraph" w:customStyle="1" w:styleId="Default">
    <w:name w:val="Default"/>
    <w:qFormat/>
    <w:rsid w:val="006B6A37"/>
    <w:rPr>
      <w:rFonts w:ascii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3F7E44"/>
    <w:pPr>
      <w:ind w:left="708"/>
    </w:pPr>
  </w:style>
  <w:style w:type="paragraph" w:styleId="Podtytu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011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5A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qFormat/>
    <w:rsid w:val="00A3136C"/>
    <w:rPr>
      <w:sz w:val="16"/>
      <w:szCs w:val="16"/>
    </w:rPr>
  </w:style>
  <w:style w:type="character" w:styleId="Numerstrony">
    <w:name w:val="page number"/>
    <w:basedOn w:val="Domylnaczcionkaakapitu"/>
    <w:qFormat/>
    <w:rsid w:val="00B656DB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1A179E"/>
    <w:rPr>
      <w:vertAlign w:val="superscript"/>
    </w:rPr>
  </w:style>
  <w:style w:type="character" w:customStyle="1" w:styleId="Nagwek2Znak">
    <w:name w:val="Nagłówek 2 Znak"/>
    <w:link w:val="Nagwek2"/>
    <w:semiHidden/>
    <w:qFormat/>
    <w:rsid w:val="00A75A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komentarzaZnak">
    <w:name w:val="Tekst komentarza Znak"/>
    <w:link w:val="Tekstkomentarza"/>
    <w:semiHidden/>
    <w:qFormat/>
    <w:locked/>
    <w:rsid w:val="000A0363"/>
  </w:style>
  <w:style w:type="paragraph" w:styleId="Nagwek">
    <w:name w:val="header"/>
    <w:basedOn w:val="Normalny"/>
    <w:next w:val="Tekstpodstawowy"/>
    <w:rsid w:val="00B45AD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LO-normal">
    <w:name w:val="LO-normal"/>
    <w:qFormat/>
  </w:style>
  <w:style w:type="paragraph" w:styleId="Tytu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komentarza">
    <w:name w:val="annotation text"/>
    <w:basedOn w:val="Normalny"/>
    <w:link w:val="TekstkomentarzaZnak"/>
    <w:semiHidden/>
    <w:qFormat/>
    <w:rsid w:val="00A313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sid w:val="00A3136C"/>
    <w:rPr>
      <w:b/>
      <w:bCs/>
    </w:rPr>
  </w:style>
  <w:style w:type="paragraph" w:styleId="Tekstdymka">
    <w:name w:val="Balloon Text"/>
    <w:basedOn w:val="Normalny"/>
    <w:semiHidden/>
    <w:qFormat/>
    <w:rsid w:val="00A3136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45AD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1A179E"/>
    <w:rPr>
      <w:sz w:val="20"/>
      <w:szCs w:val="20"/>
    </w:rPr>
  </w:style>
  <w:style w:type="paragraph" w:styleId="Bezodstpw">
    <w:name w:val="No Spacing"/>
    <w:uiPriority w:val="1"/>
    <w:qFormat/>
    <w:rsid w:val="00096758"/>
  </w:style>
  <w:style w:type="paragraph" w:customStyle="1" w:styleId="Default">
    <w:name w:val="Default"/>
    <w:qFormat/>
    <w:rsid w:val="006B6A37"/>
    <w:rPr>
      <w:rFonts w:ascii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3F7E44"/>
    <w:pPr>
      <w:ind w:left="708"/>
    </w:pPr>
  </w:style>
  <w:style w:type="paragraph" w:styleId="Podtytu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011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rQHfBZpy0D7eycV+zQ3pwmTN9Vg==">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372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Ilona</cp:lastModifiedBy>
  <cp:revision>16</cp:revision>
  <cp:lastPrinted>2024-02-22T13:26:00Z</cp:lastPrinted>
  <dcterms:created xsi:type="dcterms:W3CDTF">2023-01-13T11:25:00Z</dcterms:created>
  <dcterms:modified xsi:type="dcterms:W3CDTF">2024-08-12T11:49:00Z</dcterms:modified>
  <dc:language>pl-PL</dc:language>
</cp:coreProperties>
</file>