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74" w:rsidRPr="00A05BA9" w:rsidRDefault="00A05BA9" w:rsidP="00A05BA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Żeromska-Michniewicz A., </w:t>
      </w:r>
      <w:r w:rsidRPr="00A05BA9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Biał</w:t>
      </w:r>
      <w:r w:rsidR="006B5974" w:rsidRPr="00A05BA9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orudzki M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6B5974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 Mazur J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6B5974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 Michniewicz S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6B5974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 Nowak A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6B5974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</w:t>
      </w:r>
      <w:r w:rsidR="006B5974" w:rsidRPr="00A05BA9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Izdebski Z.</w:t>
      </w:r>
      <w:r w:rsidR="006B5974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(2026). Patient perspectives on physician-patient relationships in Poland – selected demographic, social, and health-related factors. Ann Agric Environ Med. DOI: 10.26444/aaem/216412</w:t>
      </w:r>
    </w:p>
    <w:p w:rsidR="00B9050B" w:rsidRPr="00A05BA9" w:rsidRDefault="00B9050B" w:rsidP="00A05BA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B9050B" w:rsidRPr="00A05BA9" w:rsidRDefault="00B9050B" w:rsidP="00A05BA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A05BA9">
        <w:rPr>
          <w:rFonts w:asciiTheme="minorHAnsi" w:hAnsiTheme="minorHAnsi" w:cstheme="minorHAnsi"/>
          <w:sz w:val="24"/>
          <w:szCs w:val="24"/>
        </w:rPr>
        <w:t xml:space="preserve">Mazur, J., Kozakiewicz, A., Porwit, K., Kleszczewska, D., </w:t>
      </w:r>
      <w:r w:rsidR="00A05BA9">
        <w:rPr>
          <w:rFonts w:asciiTheme="minorHAnsi" w:hAnsiTheme="minorHAnsi" w:cstheme="minorHAnsi"/>
          <w:b/>
          <w:sz w:val="24"/>
          <w:szCs w:val="24"/>
        </w:rPr>
        <w:t xml:space="preserve">Białorudzki, M., </w:t>
      </w:r>
      <w:r w:rsidRPr="00A05BA9">
        <w:rPr>
          <w:rFonts w:asciiTheme="minorHAnsi" w:hAnsiTheme="minorHAnsi" w:cstheme="minorHAnsi"/>
          <w:b/>
          <w:sz w:val="24"/>
          <w:szCs w:val="24"/>
        </w:rPr>
        <w:t>Izdebski, Z.</w:t>
      </w:r>
      <w:r w:rsidRPr="00A05BA9">
        <w:rPr>
          <w:rFonts w:asciiTheme="minorHAnsi" w:hAnsiTheme="minorHAnsi" w:cstheme="minorHAnsi"/>
          <w:sz w:val="24"/>
          <w:szCs w:val="24"/>
        </w:rPr>
        <w:t xml:space="preserve"> (2026). Caring for the ‘Heads-Down Generation’: Screen Time and Physical Health Complaints Among Adolescents in Poland. </w:t>
      </w:r>
      <w:r w:rsidRPr="00A05BA9">
        <w:rPr>
          <w:rStyle w:val="Uwydatnienie"/>
          <w:rFonts w:asciiTheme="minorHAnsi" w:hAnsiTheme="minorHAnsi" w:cstheme="minorHAnsi"/>
          <w:sz w:val="24"/>
          <w:szCs w:val="24"/>
        </w:rPr>
        <w:t>Journal of Clinical Medicine</w:t>
      </w:r>
      <w:r w:rsidRPr="00A05BA9">
        <w:rPr>
          <w:rFonts w:asciiTheme="minorHAnsi" w:hAnsiTheme="minorHAnsi" w:cstheme="minorHAnsi"/>
          <w:sz w:val="24"/>
          <w:szCs w:val="24"/>
        </w:rPr>
        <w:t xml:space="preserve">, </w:t>
      </w:r>
      <w:r w:rsidRPr="00A05BA9">
        <w:rPr>
          <w:rStyle w:val="Uwydatnienie"/>
          <w:rFonts w:asciiTheme="minorHAnsi" w:hAnsiTheme="minorHAnsi" w:cstheme="minorHAnsi"/>
          <w:sz w:val="24"/>
          <w:szCs w:val="24"/>
        </w:rPr>
        <w:t>15</w:t>
      </w:r>
      <w:r w:rsidRPr="00A05BA9">
        <w:rPr>
          <w:rFonts w:asciiTheme="minorHAnsi" w:hAnsiTheme="minorHAnsi" w:cstheme="minorHAnsi"/>
          <w:sz w:val="24"/>
          <w:szCs w:val="24"/>
        </w:rPr>
        <w:t>(8), 3130. https://doi.org/10.3390/jcm15083130</w:t>
      </w:r>
    </w:p>
    <w:p w:rsidR="00A418BE" w:rsidRPr="00A05BA9" w:rsidRDefault="00A418BE" w:rsidP="00A05BA9">
      <w:pPr>
        <w:pStyle w:val="Textbody"/>
        <w:spacing w:line="276" w:lineRule="auto"/>
        <w:jc w:val="both"/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</w:p>
    <w:p w:rsidR="00DB24F0" w:rsidRPr="00A05BA9" w:rsidRDefault="00DB24F0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Adamiec D., Branna J., </w:t>
      </w:r>
      <w:r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Dziewulak D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., Firlej N., Karkowska M., Krawczyk K., Kupis K., Tazuszel A., Żołądek Ł. (2025). Korzystanie w szkołach przez dzieci i młodzież z telefonów komórkowych oraz ograniczenie dostępu do serwisów społecznościowych dla dzieci i młodzieży w wybranych państwach Unii Europejskiej i Wielkiej Brytanii. Zeszyty Prawnicze BAS, nr 2(86), s. 277–326. DOI: </w:t>
      </w:r>
      <w:r w:rsidRPr="00A05BA9">
        <w:rPr>
          <w:rFonts w:asciiTheme="minorHAnsi" w:hAnsiTheme="minorHAnsi" w:cstheme="minorHAnsi"/>
          <w:sz w:val="24"/>
          <w:szCs w:val="24"/>
        </w:rPr>
        <w:t>10.31268/zpbas.2025.47</w:t>
      </w:r>
    </w:p>
    <w:p w:rsidR="00DB24F0" w:rsidRPr="00A05BA9" w:rsidRDefault="000C3A9E" w:rsidP="00A05BA9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910226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Branna J., </w:t>
      </w:r>
      <w:r w:rsidR="00910226" w:rsidRPr="00A05BA9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Dziewulak D.</w:t>
      </w:r>
      <w:r w:rsidR="00910226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Krawczyk K., Kupis D., Tazuszel A., Żołądek Ł. (2025). </w:t>
      </w:r>
      <w:r w:rsidR="00910226" w:rsidRPr="00A05BA9">
        <w:rPr>
          <w:rFonts w:asciiTheme="minorHAnsi" w:hAnsiTheme="minorHAnsi" w:cstheme="minorHAnsi"/>
          <w:sz w:val="24"/>
          <w:szCs w:val="24"/>
        </w:rPr>
        <w:t>Rozwiązania mające na celu zapewnienie diet eliminacyjnych stosowanych w placówkach opiekuńczych i edukacyjnych w wybranych państwach członkowskich Unii Europejskiej. Zeszyty Prawnicze BAS, nr 3(87), s. 322–335. DOI: 10.31268/ZPBAS.2025.75</w:t>
      </w:r>
    </w:p>
    <w:p w:rsidR="00DB24F0" w:rsidRPr="00A05BA9" w:rsidRDefault="00DB24F0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10226" w:rsidRPr="00A05BA9" w:rsidRDefault="00662D2F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Dziewulak D</w:t>
      </w:r>
      <w:r w:rsidR="00910226"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="00910226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(2025). Kolejność powitania gości podczas wydarzenia, w którym uczestniczą m.in.: minister, poseł, senator, wojewoda, marszałek województwa, prymas Polski, wójtowie, burmistrzowie, prezydent miasta, starosta, radni i inne osoby – zgodnie protokołem dyplomatycznym i zasadami precedencji. </w:t>
      </w:r>
      <w:r w:rsidR="00910226" w:rsidRPr="00A05BA9">
        <w:rPr>
          <w:rFonts w:asciiTheme="minorHAnsi" w:hAnsiTheme="minorHAnsi" w:cstheme="minorHAnsi"/>
          <w:sz w:val="24"/>
          <w:szCs w:val="24"/>
        </w:rPr>
        <w:t>Zeszyty Prawnicze BAS, nr 3(87), s. 314-32</w:t>
      </w:r>
      <w:r w:rsidRPr="00A05BA9">
        <w:rPr>
          <w:rFonts w:asciiTheme="minorHAnsi" w:hAnsiTheme="minorHAnsi" w:cstheme="minorHAnsi"/>
          <w:sz w:val="24"/>
          <w:szCs w:val="24"/>
        </w:rPr>
        <w:t>1. DOI: 10.31268/ZPBAS.2025.74</w:t>
      </w:r>
    </w:p>
    <w:p w:rsidR="00292964" w:rsidRPr="00A05BA9" w:rsidRDefault="0029296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2964" w:rsidRPr="00A05BA9" w:rsidRDefault="0029296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BA9">
        <w:rPr>
          <w:rFonts w:asciiTheme="minorHAnsi" w:hAnsiTheme="minorHAnsi" w:cstheme="minorHAnsi"/>
          <w:sz w:val="24"/>
          <w:szCs w:val="24"/>
        </w:rPr>
        <w:t xml:space="preserve">Popa, D., </w:t>
      </w:r>
      <w:r w:rsidRPr="00A05BA9">
        <w:rPr>
          <w:rFonts w:asciiTheme="minorHAnsi" w:hAnsiTheme="minorHAnsi" w:cstheme="minorHAnsi"/>
          <w:b/>
          <w:sz w:val="24"/>
          <w:szCs w:val="24"/>
        </w:rPr>
        <w:t>Markowska-Manista, U.</w:t>
      </w:r>
      <w:r w:rsidRPr="00A05BA9">
        <w:rPr>
          <w:rFonts w:asciiTheme="minorHAnsi" w:hAnsiTheme="minorHAnsi" w:cstheme="minorHAnsi"/>
          <w:sz w:val="24"/>
          <w:szCs w:val="24"/>
        </w:rPr>
        <w:t xml:space="preserve">, Gunnesch-Luca, G., Paladi, O., Turculet, A. R., Budnyk, O. (2026). Teachers’ professional identity patterns in the stream of changes. </w:t>
      </w:r>
      <w:r w:rsidRPr="00A05BA9">
        <w:rPr>
          <w:rFonts w:asciiTheme="minorHAnsi" w:hAnsiTheme="minorHAnsi" w:cstheme="minorHAnsi"/>
          <w:i/>
          <w:iCs/>
          <w:sz w:val="24"/>
          <w:szCs w:val="24"/>
        </w:rPr>
        <w:t>Educational Psychology</w:t>
      </w:r>
      <w:r w:rsidRPr="00A05BA9">
        <w:rPr>
          <w:rFonts w:asciiTheme="minorHAnsi" w:hAnsiTheme="minorHAnsi" w:cstheme="minorHAnsi"/>
          <w:sz w:val="24"/>
          <w:szCs w:val="24"/>
        </w:rPr>
        <w:t>, 1–18. DOI: 10.1080/01443410.2025.2609788</w:t>
      </w:r>
    </w:p>
    <w:p w:rsidR="00292964" w:rsidRPr="00A05BA9" w:rsidRDefault="0029296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2964" w:rsidRPr="00A05BA9" w:rsidRDefault="0029296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5BA9">
        <w:rPr>
          <w:rFonts w:asciiTheme="minorHAnsi" w:hAnsiTheme="minorHAnsi" w:cstheme="minorHAnsi"/>
          <w:sz w:val="24"/>
          <w:szCs w:val="24"/>
        </w:rPr>
        <w:t xml:space="preserve">Waddington, J., </w:t>
      </w:r>
      <w:r w:rsidRPr="00A05BA9">
        <w:rPr>
          <w:rFonts w:asciiTheme="minorHAnsi" w:hAnsiTheme="minorHAnsi" w:cstheme="minorHAnsi"/>
          <w:b/>
          <w:sz w:val="24"/>
          <w:szCs w:val="24"/>
        </w:rPr>
        <w:t>Markowska-Manista, U.</w:t>
      </w:r>
      <w:r w:rsidRPr="00A05BA9">
        <w:rPr>
          <w:rFonts w:asciiTheme="minorHAnsi" w:hAnsiTheme="minorHAnsi" w:cstheme="minorHAnsi"/>
          <w:sz w:val="24"/>
          <w:szCs w:val="24"/>
        </w:rPr>
        <w:t xml:space="preserve">, Fullana, J., </w:t>
      </w:r>
      <w:r w:rsidRPr="00A05BA9">
        <w:rPr>
          <w:rFonts w:asciiTheme="minorHAnsi" w:hAnsiTheme="minorHAnsi" w:cstheme="minorHAnsi"/>
          <w:b/>
          <w:sz w:val="24"/>
          <w:szCs w:val="24"/>
        </w:rPr>
        <w:t>Skura, M.</w:t>
      </w:r>
      <w:r w:rsidRPr="00A05BA9">
        <w:rPr>
          <w:rFonts w:asciiTheme="minorHAnsi" w:hAnsiTheme="minorHAnsi" w:cstheme="minorHAnsi"/>
          <w:sz w:val="24"/>
          <w:szCs w:val="24"/>
        </w:rPr>
        <w:t xml:space="preserve"> (2026). Enhancing Intercultural Understanding Through Collaborative Online International Learning: An Analysis of Benefits, Challenges and Insights. </w:t>
      </w:r>
      <w:r w:rsidRPr="00A05BA9">
        <w:rPr>
          <w:rFonts w:asciiTheme="minorHAnsi" w:hAnsiTheme="minorHAnsi" w:cstheme="minorHAnsi"/>
          <w:i/>
          <w:iCs/>
          <w:sz w:val="24"/>
          <w:szCs w:val="24"/>
        </w:rPr>
        <w:t>Active Learning in Higher Education</w:t>
      </w:r>
      <w:r w:rsidRPr="00A05BA9">
        <w:rPr>
          <w:rFonts w:asciiTheme="minorHAnsi" w:hAnsiTheme="minorHAnsi" w:cstheme="minorHAnsi"/>
          <w:sz w:val="24"/>
          <w:szCs w:val="24"/>
        </w:rPr>
        <w:t xml:space="preserve">, </w:t>
      </w:r>
      <w:r w:rsidRPr="00A05BA9">
        <w:rPr>
          <w:rFonts w:asciiTheme="minorHAnsi" w:hAnsiTheme="minorHAnsi" w:cstheme="minorHAnsi"/>
          <w:i/>
          <w:iCs/>
          <w:sz w:val="24"/>
          <w:szCs w:val="24"/>
        </w:rPr>
        <w:t>0</w:t>
      </w:r>
      <w:r w:rsidRPr="00A05BA9">
        <w:rPr>
          <w:rFonts w:asciiTheme="minorHAnsi" w:hAnsiTheme="minorHAnsi" w:cstheme="minorHAnsi"/>
          <w:sz w:val="24"/>
          <w:szCs w:val="24"/>
        </w:rPr>
        <w:t xml:space="preserve">(0). DOI: 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hyperlink r:id="rId8" w:history="1">
        <w:r w:rsidRPr="00A05BA9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0.1177/14697874261430908</w:t>
        </w:r>
      </w:hyperlink>
    </w:p>
    <w:p w:rsidR="00910226" w:rsidRPr="00A05BA9" w:rsidRDefault="00910226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DB24F0" w:rsidRPr="00A05BA9" w:rsidRDefault="00694D5D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Pietrusińska M.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, Winogrodzka D., Kyliushyk I., Trąbka A., Homel-Ficenes K.</w:t>
      </w:r>
      <w:r w:rsidR="003A130B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(2026). Ethical reflections on working wi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 peer researchers. Experience </w:t>
      </w:r>
      <w:r w:rsidR="003A130B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from the field in migration studies [43 paragraphs]. Forum Quali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tative Sozialforschung / Forum: </w:t>
      </w:r>
      <w:r w:rsidR="003A130B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Qualitative Social Research, 27(1), Art. 15, 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DOI: </w:t>
      </w:r>
      <w:r w:rsidR="003A130B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10.17169/fqs-27.1.4474</w:t>
      </w:r>
    </w:p>
    <w:p w:rsidR="003A130B" w:rsidRPr="00A05BA9" w:rsidRDefault="003A130B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D339C" w:rsidRPr="00A05BA9" w:rsidRDefault="00694D5D" w:rsidP="00A05BA9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Grzymała-Kazłowska</w:t>
      </w:r>
      <w:r w:rsidR="003D339C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A., </w:t>
      </w:r>
      <w:r w:rsidR="003D339C" w:rsidRPr="00A05BA9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Pietrusińska</w:t>
      </w:r>
      <w:r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M., Hryciuk-Ziółkowska P., Grzymała-Moszczyńska</w:t>
      </w:r>
      <w:r w:rsidR="003D339C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J. (2026). Focus-Group Workshops as a Reciprocal Method of Research and Support: The Case of Volunteers Assisting Ukrainian Displaced Migrants. </w:t>
      </w:r>
      <w:r w:rsidR="003D339C" w:rsidRPr="00A05BA9"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pl-PL"/>
        </w:rPr>
        <w:t>International Migration Review</w:t>
      </w:r>
      <w:r w:rsidR="003D339C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</w:t>
      </w:r>
      <w:r w:rsidR="003D339C" w:rsidRPr="00A05BA9"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pl-PL"/>
        </w:rPr>
        <w:t>0</w:t>
      </w:r>
      <w:r w:rsidR="003D339C" w:rsidRPr="00A05B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(0).</w:t>
      </w:r>
    </w:p>
    <w:p w:rsidR="003D339C" w:rsidRPr="00A05BA9" w:rsidRDefault="003D339C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47B74" w:rsidRPr="00A05BA9" w:rsidRDefault="00694D5D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Smogorzewska J.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Szumski G.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E47B7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rygiel</w:t>
      </w:r>
      <w:r w:rsidR="00E47B7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P. (2026).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Does understanding others help </w:t>
      </w:r>
      <w:r w:rsidR="00E47B7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children to be more social and less lonely? Relatio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 among theory of mind, social </w:t>
      </w:r>
      <w:r w:rsidR="00E47B7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skills and loneliness. Journal of Experimental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Child Psychology, 264. DOI: </w:t>
      </w:r>
      <w:r w:rsidR="00E47B7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10.1016/j.jecp.2025.106446</w:t>
      </w:r>
    </w:p>
    <w:p w:rsidR="00E47B74" w:rsidRPr="00A05BA9" w:rsidRDefault="00E47B7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47B74" w:rsidRPr="00A05BA9" w:rsidRDefault="00E47B7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Grygiel</w:t>
      </w:r>
      <w:r w:rsidR="00694D5D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P., Opozda-Suder S., Błaszczak A., Boczkowska M., Karwowski M., Papuda-Dolińska B., </w:t>
      </w:r>
      <w:r w:rsidR="00694D5D"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Szumski</w:t>
      </w:r>
      <w:r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G.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, Wiejak, K. (2026, in pre</w:t>
      </w:r>
      <w:r w:rsidR="00694D5D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ss). Development and evaluation 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of the psychometric properties of the percei</w:t>
      </w:r>
      <w:r w:rsidR="00694D5D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ved social position among peers 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questionnaire (PSPPQ). Journal of Social a</w:t>
      </w:r>
      <w:r w:rsidR="00694D5D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nd Personal Relationships. DOI: 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10.1177/02654075261431378</w:t>
      </w:r>
    </w:p>
    <w:p w:rsidR="00E47B74" w:rsidRPr="00A05BA9" w:rsidRDefault="00E47B7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92964" w:rsidRPr="00A05BA9" w:rsidRDefault="00694D5D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Papuda-Dolińska B., Grygiel P., </w:t>
      </w:r>
      <w:r w:rsidRPr="00A05B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Szumski G.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, Karwowski M., Boczkowska M., Błaszczak A., Wiejak</w:t>
      </w:r>
      <w:r w:rsidR="00E47B7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K. (2026). School Well-being in Diverse Classrooms. Research repor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t. </w:t>
      </w:r>
      <w:r w:rsidR="00E47B7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(G. Nowak, Trans.) Educational Reserach Institute</w:t>
      </w:r>
      <w:r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National Research Institute. DOI: </w:t>
      </w:r>
      <w:r w:rsidR="00E47B7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>10.24131/9788368313932</w:t>
      </w:r>
      <w:r w:rsidR="00292964" w:rsidRPr="00A05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(Original work published 2025)</w:t>
      </w:r>
    </w:p>
    <w:p w:rsidR="00292964" w:rsidRPr="00A05BA9" w:rsidRDefault="0029296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92964" w:rsidRPr="00A05BA9" w:rsidRDefault="0029296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BA9">
        <w:rPr>
          <w:rFonts w:asciiTheme="minorHAnsi" w:hAnsiTheme="minorHAnsi" w:cstheme="minorHAnsi"/>
          <w:b/>
          <w:sz w:val="24"/>
          <w:szCs w:val="24"/>
        </w:rPr>
        <w:t>Wołowicz, A.</w:t>
      </w:r>
      <w:r w:rsidRPr="00A05BA9">
        <w:rPr>
          <w:rFonts w:asciiTheme="minorHAnsi" w:hAnsiTheme="minorHAnsi" w:cstheme="minorHAnsi"/>
          <w:sz w:val="24"/>
          <w:szCs w:val="24"/>
        </w:rPr>
        <w:t xml:space="preserve">, Jurczyk M. (2025). “Barriers to Disclosure of Sexual Abuse Experienced by Women With Intellectual Disabilities: A Qualitative Study.” </w:t>
      </w:r>
      <w:r w:rsidRPr="00A05BA9">
        <w:rPr>
          <w:rFonts w:asciiTheme="minorHAnsi" w:hAnsiTheme="minorHAnsi" w:cstheme="minorHAnsi"/>
          <w:i/>
          <w:iCs/>
          <w:sz w:val="24"/>
          <w:szCs w:val="24"/>
        </w:rPr>
        <w:t>Journal of Applied Research in Intellectual Disabilities</w:t>
      </w:r>
      <w:r w:rsidRPr="00A05BA9">
        <w:rPr>
          <w:rFonts w:asciiTheme="minorHAnsi" w:hAnsiTheme="minorHAnsi" w:cstheme="minorHAnsi"/>
          <w:sz w:val="24"/>
          <w:szCs w:val="24"/>
        </w:rPr>
        <w:t xml:space="preserve"> 38, no. 5: e70146. </w:t>
      </w:r>
      <w:hyperlink r:id="rId9" w:history="1">
        <w:r w:rsidRPr="00A05BA9">
          <w:rPr>
            <w:rFonts w:asciiTheme="minorHAnsi" w:hAnsiTheme="minorHAnsi" w:cstheme="minorHAnsi"/>
            <w:sz w:val="24"/>
            <w:szCs w:val="24"/>
          </w:rPr>
          <w:t>DOI: 10.1111/jar.70146</w:t>
        </w:r>
      </w:hyperlink>
    </w:p>
    <w:p w:rsidR="00292964" w:rsidRPr="00A05BA9" w:rsidRDefault="0029296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292964" w:rsidRPr="00A05BA9" w:rsidRDefault="0029296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47B74" w:rsidRPr="00A05BA9" w:rsidRDefault="00E47B7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47B74" w:rsidRPr="00A05BA9" w:rsidRDefault="00E47B7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47B74" w:rsidRPr="00A05BA9" w:rsidRDefault="00E47B7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47B74" w:rsidRPr="00A05BA9" w:rsidRDefault="00E47B74" w:rsidP="00A05BA9">
      <w:pPr>
        <w:pStyle w:val="Textbody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E47B74" w:rsidRPr="00A05BA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D5" w:rsidRDefault="003009D5">
      <w:pPr>
        <w:spacing w:after="0" w:line="240" w:lineRule="auto"/>
      </w:pPr>
      <w:r>
        <w:separator/>
      </w:r>
    </w:p>
  </w:endnote>
  <w:endnote w:type="continuationSeparator" w:id="0">
    <w:p w:rsidR="003009D5" w:rsidRDefault="0030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D5" w:rsidRDefault="003009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009D5" w:rsidRDefault="00300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F1ABB"/>
    <w:multiLevelType w:val="multilevel"/>
    <w:tmpl w:val="69208896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7F9C5ACF"/>
    <w:multiLevelType w:val="hybridMultilevel"/>
    <w:tmpl w:val="F0B02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73"/>
    <w:rsid w:val="00040A28"/>
    <w:rsid w:val="00086514"/>
    <w:rsid w:val="000A266D"/>
    <w:rsid w:val="000C3A9E"/>
    <w:rsid w:val="000D31D6"/>
    <w:rsid w:val="000D52F6"/>
    <w:rsid w:val="000E17D4"/>
    <w:rsid w:val="00113EB2"/>
    <w:rsid w:val="00120A00"/>
    <w:rsid w:val="00126B8A"/>
    <w:rsid w:val="0014516D"/>
    <w:rsid w:val="00155098"/>
    <w:rsid w:val="0016377D"/>
    <w:rsid w:val="00184257"/>
    <w:rsid w:val="001B7CB0"/>
    <w:rsid w:val="001D2EC4"/>
    <w:rsid w:val="002127C3"/>
    <w:rsid w:val="00221DE6"/>
    <w:rsid w:val="00277438"/>
    <w:rsid w:val="00292964"/>
    <w:rsid w:val="002B0CD7"/>
    <w:rsid w:val="002E5A3E"/>
    <w:rsid w:val="002F0546"/>
    <w:rsid w:val="003009D5"/>
    <w:rsid w:val="00305DB6"/>
    <w:rsid w:val="00345F4B"/>
    <w:rsid w:val="00365FFF"/>
    <w:rsid w:val="003735F5"/>
    <w:rsid w:val="00387D73"/>
    <w:rsid w:val="003916B5"/>
    <w:rsid w:val="003A130B"/>
    <w:rsid w:val="003A4375"/>
    <w:rsid w:val="003C6CE6"/>
    <w:rsid w:val="003D339C"/>
    <w:rsid w:val="003D4A9E"/>
    <w:rsid w:val="00440926"/>
    <w:rsid w:val="004454F2"/>
    <w:rsid w:val="004925F0"/>
    <w:rsid w:val="004A3BE5"/>
    <w:rsid w:val="004C0193"/>
    <w:rsid w:val="004C1751"/>
    <w:rsid w:val="004D1783"/>
    <w:rsid w:val="004E2859"/>
    <w:rsid w:val="004F643B"/>
    <w:rsid w:val="0050528C"/>
    <w:rsid w:val="0051137A"/>
    <w:rsid w:val="00525CA2"/>
    <w:rsid w:val="00532C1F"/>
    <w:rsid w:val="005A1370"/>
    <w:rsid w:val="005C2764"/>
    <w:rsid w:val="005D4981"/>
    <w:rsid w:val="005E760F"/>
    <w:rsid w:val="0060293E"/>
    <w:rsid w:val="00645F17"/>
    <w:rsid w:val="00662D2F"/>
    <w:rsid w:val="006639EB"/>
    <w:rsid w:val="006728F2"/>
    <w:rsid w:val="006778AF"/>
    <w:rsid w:val="00694D5D"/>
    <w:rsid w:val="00696D2A"/>
    <w:rsid w:val="006A6AFD"/>
    <w:rsid w:val="006B5974"/>
    <w:rsid w:val="00722895"/>
    <w:rsid w:val="0072653A"/>
    <w:rsid w:val="007355D2"/>
    <w:rsid w:val="00782A09"/>
    <w:rsid w:val="007942DC"/>
    <w:rsid w:val="007C48A2"/>
    <w:rsid w:val="007D4613"/>
    <w:rsid w:val="00800C27"/>
    <w:rsid w:val="0081246E"/>
    <w:rsid w:val="00817416"/>
    <w:rsid w:val="008221B2"/>
    <w:rsid w:val="00822AF6"/>
    <w:rsid w:val="00825C00"/>
    <w:rsid w:val="0086156A"/>
    <w:rsid w:val="008A1F97"/>
    <w:rsid w:val="008B0EAB"/>
    <w:rsid w:val="008E5FED"/>
    <w:rsid w:val="00901008"/>
    <w:rsid w:val="00904CB0"/>
    <w:rsid w:val="00905631"/>
    <w:rsid w:val="00910226"/>
    <w:rsid w:val="0091284C"/>
    <w:rsid w:val="00921947"/>
    <w:rsid w:val="00934975"/>
    <w:rsid w:val="009925A9"/>
    <w:rsid w:val="009C44F6"/>
    <w:rsid w:val="00A05BA9"/>
    <w:rsid w:val="00A418BE"/>
    <w:rsid w:val="00A54BDB"/>
    <w:rsid w:val="00A60649"/>
    <w:rsid w:val="00A6661A"/>
    <w:rsid w:val="00A7573F"/>
    <w:rsid w:val="00AB1CA9"/>
    <w:rsid w:val="00AB2478"/>
    <w:rsid w:val="00AE6017"/>
    <w:rsid w:val="00B1268F"/>
    <w:rsid w:val="00B47C7B"/>
    <w:rsid w:val="00B70135"/>
    <w:rsid w:val="00B80CB2"/>
    <w:rsid w:val="00B9050B"/>
    <w:rsid w:val="00B97985"/>
    <w:rsid w:val="00BC095A"/>
    <w:rsid w:val="00BD0F80"/>
    <w:rsid w:val="00C224B0"/>
    <w:rsid w:val="00CC7401"/>
    <w:rsid w:val="00D27299"/>
    <w:rsid w:val="00D62896"/>
    <w:rsid w:val="00DB130D"/>
    <w:rsid w:val="00DB24F0"/>
    <w:rsid w:val="00E03C15"/>
    <w:rsid w:val="00E143CF"/>
    <w:rsid w:val="00E22E28"/>
    <w:rsid w:val="00E24379"/>
    <w:rsid w:val="00E4751E"/>
    <w:rsid w:val="00E47B74"/>
    <w:rsid w:val="00E539E0"/>
    <w:rsid w:val="00E71E03"/>
    <w:rsid w:val="00E83716"/>
    <w:rsid w:val="00EA3764"/>
    <w:rsid w:val="00EA4E2C"/>
    <w:rsid w:val="00EB0236"/>
    <w:rsid w:val="00EC4346"/>
    <w:rsid w:val="00ED7524"/>
    <w:rsid w:val="00EE2415"/>
    <w:rsid w:val="00EE2A7B"/>
    <w:rsid w:val="00F1779B"/>
    <w:rsid w:val="00F2606F"/>
    <w:rsid w:val="00F26F79"/>
    <w:rsid w:val="00F5518F"/>
    <w:rsid w:val="00F70ED9"/>
    <w:rsid w:val="00F72D8E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A131E-95DF-405D-B349-973ABB08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Standard"/>
    <w:next w:val="Textbody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pacing w:after="0" w:line="240" w:lineRule="auto"/>
    </w:pPr>
    <w:rPr>
      <w:rFonts w:eastAsia="Times New Roman" w:cs="Times New Roman"/>
      <w:szCs w:val="21"/>
      <w:lang w:eastAsia="pl-PL"/>
    </w:rPr>
  </w:style>
  <w:style w:type="paragraph" w:styleId="Bezodstpw">
    <w:name w:val="No Spacing"/>
    <w:pPr>
      <w:widowControl/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l-xs-10">
    <w:name w:val="col-xs-10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E74B5"/>
      <w:sz w:val="32"/>
      <w:szCs w:val="32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E74B5"/>
      <w:sz w:val="26"/>
      <w:szCs w:val="26"/>
    </w:rPr>
  </w:style>
  <w:style w:type="character" w:customStyle="1" w:styleId="ng-star-inserted">
    <w:name w:val="ng-star-inserted"/>
    <w:basedOn w:val="Domylnaczcionkaakapitu"/>
  </w:style>
  <w:style w:type="character" w:customStyle="1" w:styleId="ZwykytekstZnak">
    <w:name w:val="Zwykły tekst Znak"/>
    <w:basedOn w:val="Domylnaczcionkaakapitu"/>
    <w:rPr>
      <w:rFonts w:ascii="Calibri" w:eastAsia="Times New Roman" w:hAnsi="Calibri" w:cs="Times New Roman"/>
      <w:szCs w:val="21"/>
      <w:lang w:eastAsia="pl-PL"/>
    </w:rPr>
  </w:style>
  <w:style w:type="character" w:customStyle="1" w:styleId="markedcontent">
    <w:name w:val="markedcontent"/>
    <w:basedOn w:val="Domylnaczcionkaakapitu"/>
  </w:style>
  <w:style w:type="character" w:customStyle="1" w:styleId="magbibliographydoi">
    <w:name w:val="magbibliographydoi"/>
    <w:basedOn w:val="Domylnaczcionkaakapitu"/>
  </w:style>
  <w:style w:type="character" w:customStyle="1" w:styleId="gmail-apple-converted-space">
    <w:name w:val="gmail-apple-converted-space"/>
    <w:basedOn w:val="Domylnaczcionkaakapitu"/>
  </w:style>
  <w:style w:type="character" w:customStyle="1" w:styleId="gmail-il">
    <w:name w:val="gmail-il"/>
    <w:basedOn w:val="Domylnaczcionkaakapitu"/>
  </w:style>
  <w:style w:type="character" w:customStyle="1" w:styleId="ng-binding">
    <w:name w:val="ng-binding"/>
    <w:basedOn w:val="Domylnaczcionkaakapitu"/>
  </w:style>
  <w:style w:type="character" w:customStyle="1" w:styleId="gmail-contributors">
    <w:name w:val="gmail-contributors"/>
    <w:basedOn w:val="Domylnaczcionkaakapitu"/>
  </w:style>
  <w:style w:type="character" w:customStyle="1" w:styleId="gmail-maintitle">
    <w:name w:val="gmail-maintitle"/>
    <w:basedOn w:val="Domylnaczcionkaakapitu"/>
  </w:style>
  <w:style w:type="character" w:customStyle="1" w:styleId="editors">
    <w:name w:val="editors"/>
    <w:basedOn w:val="Domylnaczcionkaakapitu"/>
  </w:style>
  <w:style w:type="character" w:customStyle="1" w:styleId="gmail-online-edition">
    <w:name w:val="gmail-online-edition"/>
    <w:basedOn w:val="Domylnaczcionkaakapitu"/>
  </w:style>
  <w:style w:type="character" w:customStyle="1" w:styleId="gmail-containing-site">
    <w:name w:val="gmail-containing-site"/>
    <w:basedOn w:val="Domylnaczcionkaakapitu"/>
  </w:style>
  <w:style w:type="character" w:customStyle="1" w:styleId="gmail-online-publication-date">
    <w:name w:val="gmail-online-publication-date"/>
    <w:basedOn w:val="Domylnaczcionkaakapitu"/>
  </w:style>
  <w:style w:type="character" w:customStyle="1" w:styleId="c-bibliographic-informationvalue">
    <w:name w:val="c-bibliographic-information__value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Domylnaczcionkaakapitu"/>
  </w:style>
  <w:style w:type="character" w:customStyle="1" w:styleId="citationtext">
    <w:name w:val="citationtext"/>
    <w:basedOn w:val="Domylnaczcionkaakapitu"/>
  </w:style>
  <w:style w:type="character" w:customStyle="1" w:styleId="author">
    <w:name w:val="author"/>
    <w:basedOn w:val="Domylnaczcionkaakapitu"/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86514"/>
    <w:rPr>
      <w:color w:val="0000FF"/>
      <w:u w:val="single"/>
    </w:rPr>
  </w:style>
  <w:style w:type="character" w:customStyle="1" w:styleId="year">
    <w:name w:val="year"/>
    <w:basedOn w:val="Domylnaczcionkaakapitu"/>
    <w:rsid w:val="00155098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126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1268F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837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46978742614309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ar.701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DC5F-DCA6-4A3E-9110-18FDA0FC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KPotrzebowska</cp:lastModifiedBy>
  <cp:revision>75</cp:revision>
  <cp:lastPrinted>2025-09-19T07:05:00Z</cp:lastPrinted>
  <dcterms:created xsi:type="dcterms:W3CDTF">2025-01-28T14:09:00Z</dcterms:created>
  <dcterms:modified xsi:type="dcterms:W3CDTF">2026-04-24T09:30:00Z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