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5B2E59">
      <w:pPr>
        <w:spacing w:after="160" w:line="259" w:lineRule="auto"/>
        <w:ind w:left="4956"/>
        <w:rPr>
          <w:sz w:val="28"/>
          <w:szCs w:val="28"/>
          <w:lang w:val="en-US"/>
        </w:rPr>
      </w:pPr>
      <w:r>
        <w:rPr>
          <w:b/>
          <w:sz w:val="28"/>
          <w:szCs w:val="28"/>
          <w:lang w:val="en-US"/>
        </w:rPr>
        <w:t xml:space="preserve">   Summer semester 2021/22</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rsidP="008B5E44">
            <w:pPr>
              <w:spacing w:line="240" w:lineRule="auto"/>
              <w:jc w:val="center"/>
            </w:pPr>
            <w:r>
              <w:t>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Małgorzata Matysik</w:t>
            </w:r>
          </w:p>
          <w:p w:rsidR="00DC4850" w:rsidRPr="00AF7BA0" w:rsidRDefault="00DC4850">
            <w:pPr>
              <w:spacing w:after="160" w:line="259" w:lineRule="auto"/>
              <w:rPr>
                <w:highlight w:val="white"/>
                <w:lang w:val="en-US"/>
              </w:rPr>
            </w:pPr>
            <w:r>
              <w:rPr>
                <w:highlight w:val="white"/>
                <w:lang w:val="en-US"/>
              </w:rPr>
              <w:t>all year long</w:t>
            </w:r>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2.</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DC4850" w:rsidP="002A7498">
            <w:pPr>
              <w:pStyle w:val="NormalnyWeb"/>
              <w:spacing w:before="0" w:beforeAutospacing="0" w:after="0" w:afterAutospacing="0"/>
              <w:jc w:val="both"/>
            </w:pPr>
            <w:r>
              <w:rPr>
                <w:rFonts w:ascii="Calibri" w:hAnsi="Calibri"/>
                <w:color w:val="000000"/>
                <w:sz w:val="22"/>
                <w:szCs w:val="22"/>
                <w:shd w:val="clear" w:color="auto" w:fill="FFFFFF"/>
              </w:rPr>
              <w:t>dr Maria Britton</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4.</w:t>
            </w:r>
          </w:p>
        </w:tc>
        <w:tc>
          <w:tcPr>
            <w:tcW w:w="2505" w:type="dxa"/>
          </w:tcPr>
          <w:p w:rsidR="001A7E96" w:rsidRDefault="00997481">
            <w:pPr>
              <w:spacing w:after="160" w:line="259" w:lineRule="auto"/>
            </w:pPr>
            <w:r>
              <w:t>2300-GPTE-M1-LD</w:t>
            </w:r>
          </w:p>
        </w:tc>
        <w:tc>
          <w:tcPr>
            <w:tcW w:w="2730" w:type="dxa"/>
          </w:tcPr>
          <w:p w:rsidR="001A7E96" w:rsidRDefault="00997481">
            <w:pPr>
              <w:spacing w:after="160" w:line="259" w:lineRule="auto"/>
              <w:rPr>
                <w:b/>
                <w:color w:val="222222"/>
                <w:highlight w:val="white"/>
                <w:lang w:val="en-US"/>
              </w:rPr>
            </w:pPr>
            <w:r w:rsidRPr="00AF7BA0">
              <w:rPr>
                <w:b/>
                <w:color w:val="222222"/>
                <w:highlight w:val="white"/>
                <w:lang w:val="en-US"/>
              </w:rPr>
              <w:t>Literature and drama in ELT</w:t>
            </w:r>
          </w:p>
          <w:p w:rsidR="00DC4850" w:rsidRPr="00DC4850" w:rsidRDefault="00DC4850">
            <w:pPr>
              <w:spacing w:after="160" w:line="259" w:lineRule="auto"/>
              <w:rPr>
                <w:rFonts w:asciiTheme="majorHAnsi" w:hAnsiTheme="majorHAnsi"/>
                <w:color w:val="222222"/>
                <w:highlight w:val="white"/>
                <w:lang w:val="en-US"/>
              </w:rPr>
            </w:pPr>
            <w:proofErr w:type="spellStart"/>
            <w:r>
              <w:rPr>
                <w:rFonts w:asciiTheme="majorHAnsi" w:hAnsiTheme="majorHAnsi"/>
                <w:color w:val="222222"/>
                <w:highlight w:val="white"/>
                <w:lang w:val="en-US"/>
              </w:rPr>
              <w:t>mgr</w:t>
            </w:r>
            <w:proofErr w:type="spellEnd"/>
            <w:r>
              <w:rPr>
                <w:rFonts w:asciiTheme="majorHAnsi" w:hAnsiTheme="majorHAnsi"/>
                <w:color w:val="222222"/>
                <w:highlight w:val="white"/>
                <w:lang w:val="en-US"/>
              </w:rPr>
              <w:t xml:space="preserve"> Katarzyna </w:t>
            </w:r>
            <w:proofErr w:type="spellStart"/>
            <w:r>
              <w:rPr>
                <w:rFonts w:asciiTheme="majorHAnsi" w:hAnsiTheme="majorHAnsi"/>
                <w:color w:val="222222"/>
                <w:highlight w:val="white"/>
                <w:lang w:val="en-US"/>
              </w:rPr>
              <w:t>Domańska</w:t>
            </w:r>
            <w:proofErr w:type="spellEnd"/>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Pr="00347EF5" w:rsidRDefault="00A94AA6" w:rsidP="00A94AA6">
            <w:pPr>
              <w:pStyle w:val="NormalnyWeb"/>
              <w:spacing w:before="0" w:beforeAutospacing="0" w:after="0" w:afterAutospacing="0"/>
              <w:jc w:val="both"/>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6</w:t>
            </w:r>
            <w:r w:rsidR="00997481">
              <w:t>.</w:t>
            </w:r>
          </w:p>
        </w:tc>
        <w:tc>
          <w:tcPr>
            <w:tcW w:w="2505" w:type="dxa"/>
          </w:tcPr>
          <w:p w:rsidR="001A7E96" w:rsidRDefault="00B77BE5">
            <w:pPr>
              <w:spacing w:after="160" w:line="259" w:lineRule="auto"/>
            </w:pPr>
            <w:r>
              <w:t>2300-GPTE-M2-EPh</w:t>
            </w:r>
          </w:p>
        </w:tc>
        <w:tc>
          <w:tcPr>
            <w:tcW w:w="2730" w:type="dxa"/>
          </w:tcPr>
          <w:p w:rsidR="001A7E96" w:rsidRPr="00B77BE5" w:rsidRDefault="00997481">
            <w:pPr>
              <w:spacing w:after="160" w:line="259" w:lineRule="auto"/>
              <w:rPr>
                <w:b/>
                <w:highlight w:val="white"/>
                <w:lang w:val="en-US"/>
              </w:rPr>
            </w:pPr>
            <w:r w:rsidRPr="00B77BE5">
              <w:rPr>
                <w:b/>
                <w:highlight w:val="white"/>
                <w:lang w:val="en-US"/>
              </w:rPr>
              <w:t>English Phonetics</w:t>
            </w:r>
          </w:p>
          <w:p w:rsidR="00DC4850" w:rsidRPr="00B77BE5" w:rsidRDefault="00DC4850">
            <w:pPr>
              <w:spacing w:after="160" w:line="259" w:lineRule="auto"/>
              <w:rPr>
                <w:b/>
                <w:highlight w:val="white"/>
                <w:lang w:val="en-US"/>
              </w:rPr>
            </w:pPr>
          </w:p>
          <w:p w:rsidR="00DC4850" w:rsidRPr="00347EF5" w:rsidRDefault="00DC4850" w:rsidP="00DC4850">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DC4850" w:rsidRPr="00B77BE5" w:rsidRDefault="00DC4850">
            <w:pPr>
              <w:spacing w:after="160" w:line="259" w:lineRule="auto"/>
              <w:rPr>
                <w:b/>
                <w:highlight w:val="white"/>
                <w:lang w:val="en-US"/>
              </w:rPr>
            </w:pPr>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7</w:t>
            </w:r>
            <w:r w:rsidR="00997481">
              <w:t>.</w:t>
            </w:r>
          </w:p>
        </w:tc>
        <w:tc>
          <w:tcPr>
            <w:tcW w:w="2505" w:type="dxa"/>
          </w:tcPr>
          <w:p w:rsidR="001A7E96" w:rsidRDefault="00B77BE5">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p w:rsidR="00DC4850" w:rsidRDefault="00DC4850" w:rsidP="00DC4850">
            <w:pPr>
              <w:spacing w:after="160" w:line="259" w:lineRule="auto"/>
              <w:rPr>
                <w:b/>
                <w:highlight w:val="white"/>
              </w:rPr>
            </w:pPr>
            <w:r w:rsidRPr="00B77BE5">
              <w:rPr>
                <w:rFonts w:ascii="Calibri" w:hAnsi="Calibri"/>
                <w:color w:val="000000"/>
                <w:shd w:val="clear" w:color="auto" w:fill="FFFFFF"/>
                <w:lang w:val="pl-PL"/>
              </w:rPr>
              <w:t xml:space="preserve">mgr Joanna </w:t>
            </w:r>
            <w:proofErr w:type="spellStart"/>
            <w:r w:rsidRPr="00B77BE5">
              <w:rPr>
                <w:rFonts w:ascii="Calibri" w:hAnsi="Calibri"/>
                <w:color w:val="000000"/>
                <w:shd w:val="clear" w:color="auto" w:fill="FFFFFF"/>
                <w:lang w:val="pl-PL"/>
              </w:rPr>
              <w:t>Płatkowska-Nęcka</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DC4850" w:rsidP="008B5E44">
            <w:pPr>
              <w:spacing w:line="240" w:lineRule="auto"/>
              <w:jc w:val="center"/>
            </w:pPr>
            <w:r>
              <w:t>8</w:t>
            </w:r>
            <w:r w:rsidR="00997481">
              <w:t>.</w:t>
            </w:r>
          </w:p>
        </w:tc>
        <w:tc>
          <w:tcPr>
            <w:tcW w:w="2505" w:type="dxa"/>
          </w:tcPr>
          <w:p w:rsidR="001A7E96" w:rsidRDefault="00997481">
            <w:pPr>
              <w:spacing w:after="160" w:line="259" w:lineRule="auto"/>
            </w:pPr>
            <w:r>
              <w:t>2300-OG-GPTE-KBS</w:t>
            </w:r>
          </w:p>
        </w:tc>
        <w:tc>
          <w:tcPr>
            <w:tcW w:w="2730" w:type="dxa"/>
          </w:tcPr>
          <w:p w:rsidR="001A7E96" w:rsidRDefault="00997481">
            <w:pPr>
              <w:spacing w:after="160" w:line="259" w:lineRule="auto"/>
              <w:rPr>
                <w:b/>
                <w:highlight w:val="white"/>
                <w:lang w:val="en-US"/>
              </w:rPr>
            </w:pPr>
            <w:r w:rsidRPr="00AF7BA0">
              <w:rPr>
                <w:b/>
                <w:highlight w:val="white"/>
                <w:lang w:val="en-US"/>
              </w:rPr>
              <w:t>Key Professional and Business Skills</w:t>
            </w:r>
          </w:p>
          <w:p w:rsidR="00A94AA6" w:rsidRPr="00347EF5" w:rsidRDefault="00A90038">
            <w:pPr>
              <w:spacing w:after="160" w:line="259" w:lineRule="auto"/>
              <w:rPr>
                <w:rFonts w:asciiTheme="majorHAnsi" w:hAnsiTheme="majorHAnsi"/>
                <w:highlight w:val="white"/>
                <w:lang w:val="en-US"/>
              </w:rPr>
            </w:pPr>
            <w:proofErr w:type="spellStart"/>
            <w:r w:rsidRPr="00347EF5">
              <w:rPr>
                <w:rFonts w:asciiTheme="majorHAnsi" w:hAnsiTheme="majorHAnsi"/>
                <w:highlight w:val="white"/>
                <w:lang w:val="en-US"/>
              </w:rPr>
              <w:lastRenderedPageBreak/>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Katarzyna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tc>
        <w:tc>
          <w:tcPr>
            <w:tcW w:w="4620" w:type="dxa"/>
          </w:tcPr>
          <w:p w:rsidR="001A7E96" w:rsidRPr="00AF7BA0" w:rsidRDefault="00997481">
            <w:pPr>
              <w:spacing w:line="240" w:lineRule="auto"/>
              <w:jc w:val="both"/>
              <w:rPr>
                <w:lang w:val="en-US"/>
              </w:rPr>
            </w:pPr>
            <w:r w:rsidRPr="00AF7BA0">
              <w:rPr>
                <w:lang w:val="en-US"/>
              </w:rPr>
              <w:lastRenderedPageBreak/>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lastRenderedPageBreak/>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8B5E44" w:rsidP="008B5E44">
            <w:pPr>
              <w:spacing w:line="240" w:lineRule="auto"/>
              <w:jc w:val="center"/>
            </w:pPr>
            <w:r>
              <w:t>9.</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8B5E44" w:rsidP="008B5E44">
            <w:pPr>
              <w:spacing w:line="240" w:lineRule="auto"/>
              <w:jc w:val="center"/>
            </w:pPr>
            <w:r>
              <w:t>10</w:t>
            </w:r>
            <w:r w:rsidR="00AF7BA0">
              <w:t>.</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r w:rsidR="00922577" w:rsidRPr="008B5E44">
        <w:trPr>
          <w:trHeight w:val="758"/>
        </w:trPr>
        <w:tc>
          <w:tcPr>
            <w:tcW w:w="675" w:type="dxa"/>
          </w:tcPr>
          <w:p w:rsidR="00922577" w:rsidRDefault="008B5E44" w:rsidP="008B5E44">
            <w:pPr>
              <w:spacing w:line="240" w:lineRule="auto"/>
              <w:jc w:val="center"/>
            </w:pPr>
            <w:r>
              <w:lastRenderedPageBreak/>
              <w:t>11</w:t>
            </w:r>
            <w:r w:rsidR="00922577">
              <w:t>.</w:t>
            </w:r>
          </w:p>
        </w:tc>
        <w:tc>
          <w:tcPr>
            <w:tcW w:w="2505" w:type="dxa"/>
          </w:tcPr>
          <w:p w:rsidR="00922577" w:rsidRPr="00AF7BA0" w:rsidRDefault="008B5E44" w:rsidP="00922577">
            <w:pPr>
              <w:spacing w:before="100" w:beforeAutospacing="1" w:after="100" w:afterAutospacing="1" w:line="240" w:lineRule="auto"/>
              <w:rPr>
                <w:rFonts w:eastAsia="Times New Roman"/>
                <w:lang w:val="pl-PL"/>
              </w:rPr>
            </w:pPr>
            <w:r w:rsidRPr="008B5E44">
              <w:rPr>
                <w:rFonts w:eastAsia="Times New Roman"/>
                <w:lang w:val="pl-PL"/>
              </w:rPr>
              <w:t>2300-GPTE-M3-TRT</w:t>
            </w:r>
          </w:p>
        </w:tc>
        <w:tc>
          <w:tcPr>
            <w:tcW w:w="2730" w:type="dxa"/>
          </w:tcPr>
          <w:p w:rsidR="00922577" w:rsidRPr="008B5E44" w:rsidRDefault="008B5E44" w:rsidP="00922577">
            <w:pPr>
              <w:spacing w:line="240" w:lineRule="auto"/>
              <w:jc w:val="both"/>
              <w:rPr>
                <w:rFonts w:eastAsia="Times New Roman"/>
                <w:b/>
                <w:bCs/>
                <w:color w:val="000000"/>
                <w:shd w:val="clear" w:color="auto" w:fill="FFFFFF"/>
                <w:lang w:val="en-US"/>
              </w:rPr>
            </w:pPr>
            <w:r w:rsidRPr="008B5E44">
              <w:rPr>
                <w:rFonts w:eastAsia="Times New Roman"/>
                <w:b/>
                <w:bCs/>
                <w:color w:val="000000"/>
                <w:shd w:val="clear" w:color="auto" w:fill="FFFFFF"/>
                <w:lang w:val="en-US"/>
              </w:rPr>
              <w:t>Tools of reflective teaching</w:t>
            </w:r>
          </w:p>
        </w:tc>
        <w:tc>
          <w:tcPr>
            <w:tcW w:w="4620" w:type="dxa"/>
          </w:tcPr>
          <w:p w:rsidR="00922577" w:rsidRPr="002627A9" w:rsidRDefault="00922577"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922577" w:rsidRPr="002627A9" w:rsidRDefault="00177C7D" w:rsidP="00922577">
            <w:pPr>
              <w:spacing w:after="160" w:line="259" w:lineRule="auto"/>
              <w:rPr>
                <w:lang w:val="en-US"/>
              </w:rPr>
            </w:pPr>
            <w:r>
              <w:rPr>
                <w:lang w:val="en-US"/>
              </w:rPr>
              <w:t>4</w:t>
            </w:r>
          </w:p>
        </w:tc>
        <w:tc>
          <w:tcPr>
            <w:tcW w:w="1590" w:type="dxa"/>
          </w:tcPr>
          <w:p w:rsidR="00922577" w:rsidRPr="002627A9" w:rsidRDefault="00177C7D"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12.</w:t>
            </w:r>
          </w:p>
        </w:tc>
        <w:tc>
          <w:tcPr>
            <w:tcW w:w="2505" w:type="dxa"/>
          </w:tcPr>
          <w:p w:rsidR="00691F20" w:rsidRPr="008B5E44" w:rsidRDefault="00540A54" w:rsidP="00922577">
            <w:pPr>
              <w:spacing w:before="100" w:beforeAutospacing="1" w:after="100" w:afterAutospacing="1" w:line="240" w:lineRule="auto"/>
              <w:rPr>
                <w:rFonts w:eastAsia="Times New Roman"/>
                <w:lang w:val="pl-PL"/>
              </w:rPr>
            </w:pPr>
            <w:r w:rsidRPr="00540A54">
              <w:rPr>
                <w:rFonts w:eastAsia="Times New Roman"/>
                <w:lang w:val="pl-PL"/>
              </w:rPr>
              <w:t>2300-GPTE-CM1-TEYLa</w:t>
            </w:r>
          </w:p>
        </w:tc>
        <w:tc>
          <w:tcPr>
            <w:tcW w:w="2730" w:type="dxa"/>
          </w:tcPr>
          <w:p w:rsidR="00691F20" w:rsidRPr="008B5E44"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Teaching English to young learners</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13.</w:t>
            </w:r>
          </w:p>
        </w:tc>
        <w:tc>
          <w:tcPr>
            <w:tcW w:w="2505" w:type="dxa"/>
          </w:tcPr>
          <w:p w:rsidR="00691F20" w:rsidRPr="008B5E44" w:rsidRDefault="004E7A99" w:rsidP="00922577">
            <w:pPr>
              <w:spacing w:before="100" w:beforeAutospacing="1" w:after="100" w:afterAutospacing="1" w:line="240" w:lineRule="auto"/>
              <w:rPr>
                <w:rFonts w:eastAsia="Times New Roman"/>
                <w:lang w:val="pl-PL"/>
              </w:rPr>
            </w:pPr>
            <w:r w:rsidRPr="004E7A99">
              <w:rPr>
                <w:rFonts w:eastAsia="Times New Roman"/>
                <w:lang w:val="pl-PL"/>
              </w:rPr>
              <w:t>2300-GPTE-M3-AR</w:t>
            </w:r>
          </w:p>
        </w:tc>
        <w:tc>
          <w:tcPr>
            <w:tcW w:w="2730" w:type="dxa"/>
          </w:tcPr>
          <w:p w:rsidR="00691F20" w:rsidRPr="00691F20" w:rsidRDefault="00691F20" w:rsidP="00922577">
            <w:pPr>
              <w:spacing w:line="240" w:lineRule="auto"/>
              <w:jc w:val="both"/>
              <w:rPr>
                <w:rFonts w:eastAsia="Times New Roman"/>
                <w:b/>
                <w:bCs/>
                <w:color w:val="000000"/>
                <w:shd w:val="clear" w:color="auto" w:fill="FFFFFF"/>
                <w:lang w:val="en-US"/>
              </w:rPr>
            </w:pPr>
            <w:r>
              <w:rPr>
                <w:rFonts w:eastAsia="Times New Roman"/>
                <w:b/>
                <w:bCs/>
                <w:color w:val="000000"/>
                <w:shd w:val="clear" w:color="auto" w:fill="FFFFFF"/>
                <w:lang w:val="en-US"/>
              </w:rPr>
              <w:t>Action research</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14.</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2300-GPTE-M5-GE-BM</w:t>
            </w:r>
          </w:p>
        </w:tc>
        <w:tc>
          <w:tcPr>
            <w:tcW w:w="2730" w:type="dxa"/>
          </w:tcPr>
          <w:p w:rsidR="00691F20"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Bilingualism and multiculturalism: Critical Issues and Practices</w:t>
            </w:r>
          </w:p>
          <w:p w:rsidR="00691F20" w:rsidRDefault="00691F20"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E15FAF" w:rsidP="00922577">
            <w:pPr>
              <w:spacing w:after="160" w:line="259" w:lineRule="auto"/>
              <w:rPr>
                <w:lang w:val="en-US"/>
              </w:rPr>
            </w:pPr>
            <w:r>
              <w:rPr>
                <w:lang w:val="en-US"/>
              </w:rPr>
              <w:t>B2</w:t>
            </w:r>
          </w:p>
        </w:tc>
      </w:tr>
      <w:tr w:rsidR="00691F20" w:rsidRPr="008B5E44">
        <w:trPr>
          <w:trHeight w:val="758"/>
        </w:trPr>
        <w:tc>
          <w:tcPr>
            <w:tcW w:w="675" w:type="dxa"/>
          </w:tcPr>
          <w:p w:rsidR="00691F20" w:rsidRDefault="00354ED5" w:rsidP="008B5E44">
            <w:pPr>
              <w:spacing w:line="240" w:lineRule="auto"/>
              <w:jc w:val="center"/>
            </w:pPr>
            <w:r>
              <w:t>15.</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2300-GPTE-M5-GE-DP</w:t>
            </w:r>
          </w:p>
        </w:tc>
        <w:tc>
          <w:tcPr>
            <w:tcW w:w="2730" w:type="dxa"/>
          </w:tcPr>
          <w:p w:rsidR="00691F20" w:rsidRDefault="00354ED5" w:rsidP="00922577">
            <w:pPr>
              <w:spacing w:line="240" w:lineRule="auto"/>
              <w:jc w:val="both"/>
              <w:rPr>
                <w:rFonts w:eastAsia="Times New Roman"/>
                <w:b/>
                <w:bCs/>
                <w:color w:val="000000"/>
                <w:shd w:val="clear" w:color="auto" w:fill="FFFFFF"/>
                <w:lang w:val="en-US"/>
              </w:rPr>
            </w:pPr>
            <w:r w:rsidRPr="00354ED5">
              <w:rPr>
                <w:rFonts w:eastAsia="Times New Roman"/>
                <w:b/>
                <w:bCs/>
                <w:color w:val="000000"/>
                <w:shd w:val="clear" w:color="auto" w:fill="FFFFFF"/>
                <w:lang w:val="en-US"/>
              </w:rPr>
              <w:t>Developing Portfolio</w:t>
            </w:r>
          </w:p>
          <w:p w:rsidR="00354ED5" w:rsidRPr="00691F20" w:rsidRDefault="00354ED5"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354ED5" w:rsidRPr="00540A54">
        <w:trPr>
          <w:trHeight w:val="758"/>
        </w:trPr>
        <w:tc>
          <w:tcPr>
            <w:tcW w:w="675" w:type="dxa"/>
          </w:tcPr>
          <w:p w:rsidR="00354ED5" w:rsidRDefault="00354ED5" w:rsidP="008B5E44">
            <w:pPr>
              <w:spacing w:line="240" w:lineRule="auto"/>
              <w:jc w:val="center"/>
            </w:pPr>
            <w:r>
              <w:t>16.</w:t>
            </w:r>
          </w:p>
        </w:tc>
        <w:tc>
          <w:tcPr>
            <w:tcW w:w="2505" w:type="dxa"/>
          </w:tcPr>
          <w:p w:rsidR="00354ED5" w:rsidRPr="008B5E44" w:rsidRDefault="002D6277" w:rsidP="00922577">
            <w:pPr>
              <w:spacing w:before="100" w:beforeAutospacing="1" w:after="100" w:afterAutospacing="1" w:line="240" w:lineRule="auto"/>
              <w:rPr>
                <w:rFonts w:eastAsia="Times New Roman"/>
                <w:lang w:val="pl-PL"/>
              </w:rPr>
            </w:pPr>
            <w:r w:rsidRPr="002D6277">
              <w:rPr>
                <w:rFonts w:eastAsia="Times New Roman"/>
                <w:lang w:val="pl-PL"/>
              </w:rPr>
              <w:t>2300-J-MPNJA-MNJA</w:t>
            </w:r>
          </w:p>
        </w:tc>
        <w:tc>
          <w:tcPr>
            <w:tcW w:w="2730" w:type="dxa"/>
          </w:tcPr>
          <w:p w:rsidR="00354ED5" w:rsidRPr="00354ED5" w:rsidRDefault="005B61E3" w:rsidP="00922577">
            <w:pPr>
              <w:spacing w:line="240" w:lineRule="auto"/>
              <w:jc w:val="both"/>
              <w:rPr>
                <w:rFonts w:eastAsia="Times New Roman"/>
                <w:b/>
                <w:bCs/>
                <w:color w:val="000000"/>
                <w:shd w:val="clear" w:color="auto" w:fill="FFFFFF"/>
                <w:lang w:val="en-US"/>
              </w:rPr>
            </w:pPr>
            <w:proofErr w:type="spellStart"/>
            <w:r>
              <w:rPr>
                <w:rFonts w:eastAsia="Times New Roman"/>
                <w:b/>
                <w:bCs/>
                <w:color w:val="000000"/>
                <w:shd w:val="clear" w:color="auto" w:fill="FFFFFF"/>
                <w:lang w:val="en-US"/>
              </w:rPr>
              <w:t>Metodyka</w:t>
            </w:r>
            <w:proofErr w:type="spellEnd"/>
            <w:r>
              <w:rPr>
                <w:rFonts w:eastAsia="Times New Roman"/>
                <w:b/>
                <w:bCs/>
                <w:color w:val="000000"/>
                <w:shd w:val="clear" w:color="auto" w:fill="FFFFFF"/>
                <w:lang w:val="en-US"/>
              </w:rPr>
              <w:t xml:space="preserve"> </w:t>
            </w:r>
            <w:proofErr w:type="spellStart"/>
            <w:r>
              <w:rPr>
                <w:rFonts w:eastAsia="Times New Roman"/>
                <w:b/>
                <w:bCs/>
                <w:color w:val="000000"/>
                <w:shd w:val="clear" w:color="auto" w:fill="FFFFFF"/>
                <w:lang w:val="en-US"/>
              </w:rPr>
              <w:t>nauczania</w:t>
            </w:r>
            <w:proofErr w:type="spellEnd"/>
            <w:r>
              <w:rPr>
                <w:rFonts w:eastAsia="Times New Roman"/>
                <w:b/>
                <w:bCs/>
                <w:color w:val="000000"/>
                <w:shd w:val="clear" w:color="auto" w:fill="FFFFFF"/>
                <w:lang w:val="en-US"/>
              </w:rPr>
              <w:t xml:space="preserve"> j. a. / </w:t>
            </w:r>
            <w:r w:rsidRPr="005B61E3">
              <w:rPr>
                <w:rFonts w:eastAsia="Times New Roman"/>
                <w:b/>
                <w:bCs/>
                <w:color w:val="000000"/>
                <w:shd w:val="clear" w:color="auto" w:fill="FFFFFF"/>
                <w:lang w:val="en-US"/>
              </w:rPr>
              <w:t>Methodology of English language teaching</w:t>
            </w:r>
          </w:p>
        </w:tc>
        <w:tc>
          <w:tcPr>
            <w:tcW w:w="4620" w:type="dxa"/>
          </w:tcPr>
          <w:p w:rsidR="00354ED5" w:rsidRPr="002627A9" w:rsidRDefault="00354ED5"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354ED5" w:rsidRPr="002627A9" w:rsidRDefault="00540A54" w:rsidP="00922577">
            <w:pPr>
              <w:spacing w:after="160" w:line="259" w:lineRule="auto"/>
              <w:rPr>
                <w:lang w:val="en-US"/>
              </w:rPr>
            </w:pPr>
            <w:r>
              <w:rPr>
                <w:lang w:val="en-US"/>
              </w:rPr>
              <w:t>4</w:t>
            </w:r>
          </w:p>
        </w:tc>
        <w:tc>
          <w:tcPr>
            <w:tcW w:w="1590" w:type="dxa"/>
          </w:tcPr>
          <w:p w:rsidR="00354ED5" w:rsidRPr="00540A54" w:rsidRDefault="00540A54" w:rsidP="00922577">
            <w:pPr>
              <w:spacing w:after="160" w:line="259" w:lineRule="auto"/>
              <w:rPr>
                <w:color w:val="FF0000"/>
                <w:lang w:val="en-US"/>
              </w:rPr>
            </w:pPr>
            <w:r w:rsidRPr="00540A54">
              <w:rPr>
                <w:color w:val="FF0000"/>
                <w:lang w:val="en-US"/>
              </w:rPr>
              <w:t>?</w:t>
            </w:r>
          </w:p>
        </w:tc>
      </w:tr>
      <w:tr w:rsidR="00177C7D" w:rsidRPr="00373F90">
        <w:trPr>
          <w:trHeight w:val="758"/>
        </w:trPr>
        <w:tc>
          <w:tcPr>
            <w:tcW w:w="675" w:type="dxa"/>
          </w:tcPr>
          <w:p w:rsidR="00177C7D" w:rsidRDefault="00177C7D" w:rsidP="008B5E44">
            <w:pPr>
              <w:spacing w:line="240" w:lineRule="auto"/>
              <w:jc w:val="center"/>
            </w:pPr>
            <w:r>
              <w:t>17.</w:t>
            </w:r>
          </w:p>
        </w:tc>
        <w:tc>
          <w:tcPr>
            <w:tcW w:w="2505" w:type="dxa"/>
          </w:tcPr>
          <w:p w:rsidR="00177C7D" w:rsidRPr="008B5E44" w:rsidRDefault="00177C7D" w:rsidP="00922577">
            <w:pPr>
              <w:spacing w:before="100" w:beforeAutospacing="1" w:after="100" w:afterAutospacing="1" w:line="240" w:lineRule="auto"/>
              <w:rPr>
                <w:rFonts w:eastAsia="Times New Roman"/>
                <w:lang w:val="pl-PL"/>
              </w:rPr>
            </w:pPr>
            <w:r w:rsidRPr="00177C7D">
              <w:rPr>
                <w:rFonts w:eastAsia="Times New Roman"/>
                <w:lang w:val="pl-PL"/>
              </w:rPr>
              <w:t>2300-J-MPNJA-JAWN</w:t>
            </w:r>
          </w:p>
        </w:tc>
        <w:tc>
          <w:tcPr>
            <w:tcW w:w="2730" w:type="dxa"/>
          </w:tcPr>
          <w:p w:rsidR="00177C7D" w:rsidRPr="00A2449A" w:rsidRDefault="00177C7D" w:rsidP="00922577">
            <w:pPr>
              <w:spacing w:line="240" w:lineRule="auto"/>
              <w:jc w:val="both"/>
              <w:rPr>
                <w:rFonts w:eastAsia="Times New Roman"/>
                <w:b/>
                <w:bCs/>
                <w:color w:val="FF0000"/>
                <w:shd w:val="clear" w:color="auto" w:fill="FFFFFF"/>
                <w:lang w:val="en-US"/>
              </w:rPr>
            </w:pPr>
            <w:proofErr w:type="spellStart"/>
            <w:r w:rsidRPr="00A2449A">
              <w:rPr>
                <w:rFonts w:eastAsia="Times New Roman"/>
                <w:b/>
                <w:bCs/>
                <w:color w:val="000000"/>
                <w:shd w:val="clear" w:color="auto" w:fill="FFFFFF"/>
                <w:lang w:val="en-US"/>
              </w:rPr>
              <w:t>Jęz</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ang.</w:t>
            </w:r>
            <w:proofErr w:type="spellEnd"/>
            <w:r w:rsidRPr="00A2449A">
              <w:rPr>
                <w:rFonts w:eastAsia="Times New Roman"/>
                <w:b/>
                <w:bCs/>
                <w:color w:val="000000"/>
                <w:shd w:val="clear" w:color="auto" w:fill="FFFFFF"/>
                <w:lang w:val="en-US"/>
              </w:rPr>
              <w:t xml:space="preserve"> we </w:t>
            </w:r>
            <w:proofErr w:type="spellStart"/>
            <w:r w:rsidRPr="00A2449A">
              <w:rPr>
                <w:rFonts w:eastAsia="Times New Roman"/>
                <w:b/>
                <w:bCs/>
                <w:color w:val="000000"/>
                <w:shd w:val="clear" w:color="auto" w:fill="FFFFFF"/>
                <w:lang w:val="en-US"/>
              </w:rPr>
              <w:t>wczesnym</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nauczaniu</w:t>
            </w:r>
            <w:proofErr w:type="spellEnd"/>
            <w:r w:rsidR="00240760" w:rsidRPr="00A2449A">
              <w:rPr>
                <w:rFonts w:eastAsia="Times New Roman"/>
                <w:b/>
                <w:bCs/>
                <w:color w:val="000000"/>
                <w:shd w:val="clear" w:color="auto" w:fill="FFFFFF"/>
                <w:lang w:val="en-US"/>
              </w:rPr>
              <w:t xml:space="preserve"> / English to Young Learners</w:t>
            </w:r>
            <w:r w:rsidR="00A2449A" w:rsidRPr="00A2449A">
              <w:rPr>
                <w:rFonts w:eastAsia="Times New Roman"/>
                <w:b/>
                <w:bCs/>
                <w:color w:val="000000"/>
                <w:shd w:val="clear" w:color="auto" w:fill="FFFFFF"/>
                <w:lang w:val="en-US"/>
              </w:rPr>
              <w:t xml:space="preserve"> </w:t>
            </w:r>
            <w:bookmarkStart w:id="0" w:name="_GoBack"/>
            <w:bookmarkEnd w:id="0"/>
          </w:p>
        </w:tc>
        <w:tc>
          <w:tcPr>
            <w:tcW w:w="4620" w:type="dxa"/>
          </w:tcPr>
          <w:p w:rsidR="00177C7D" w:rsidRPr="00A2449A" w:rsidRDefault="00177C7D"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177C7D" w:rsidRPr="00373F90" w:rsidRDefault="00373F90" w:rsidP="00922577">
            <w:pPr>
              <w:spacing w:after="160" w:line="259" w:lineRule="auto"/>
              <w:rPr>
                <w:lang w:val="pl-PL"/>
              </w:rPr>
            </w:pPr>
            <w:r>
              <w:rPr>
                <w:lang w:val="pl-PL"/>
              </w:rPr>
              <w:t>4</w:t>
            </w:r>
          </w:p>
        </w:tc>
        <w:tc>
          <w:tcPr>
            <w:tcW w:w="1590" w:type="dxa"/>
          </w:tcPr>
          <w:p w:rsidR="00177C7D" w:rsidRPr="00373F90" w:rsidRDefault="00373F90" w:rsidP="00922577">
            <w:pPr>
              <w:spacing w:after="160" w:line="259" w:lineRule="auto"/>
              <w:rPr>
                <w:lang w:val="pl-PL"/>
              </w:rPr>
            </w:pPr>
            <w:r>
              <w:rPr>
                <w:lang w:val="pl-PL"/>
              </w:rPr>
              <w:t>C1</w:t>
            </w:r>
          </w:p>
        </w:tc>
      </w:tr>
      <w:tr w:rsidR="004E7A99" w:rsidRPr="00373F90">
        <w:trPr>
          <w:trHeight w:val="758"/>
        </w:trPr>
        <w:tc>
          <w:tcPr>
            <w:tcW w:w="675" w:type="dxa"/>
          </w:tcPr>
          <w:p w:rsidR="004E7A99" w:rsidRDefault="004E7A99" w:rsidP="008B5E44">
            <w:pPr>
              <w:spacing w:line="240" w:lineRule="auto"/>
              <w:jc w:val="center"/>
            </w:pPr>
            <w:r>
              <w:t>18.</w:t>
            </w:r>
          </w:p>
        </w:tc>
        <w:tc>
          <w:tcPr>
            <w:tcW w:w="2505" w:type="dxa"/>
          </w:tcPr>
          <w:p w:rsidR="004E7A99" w:rsidRPr="00177C7D" w:rsidRDefault="004E7A99" w:rsidP="00922577">
            <w:pPr>
              <w:spacing w:before="100" w:beforeAutospacing="1" w:after="100" w:afterAutospacing="1" w:line="240" w:lineRule="auto"/>
              <w:rPr>
                <w:rFonts w:eastAsia="Times New Roman"/>
                <w:lang w:val="pl-PL"/>
              </w:rPr>
            </w:pPr>
            <w:r>
              <w:rPr>
                <w:rFonts w:eastAsia="Times New Roman"/>
                <w:lang w:val="pl-PL"/>
              </w:rPr>
              <w:t>2300-MS3-PWT-PPP</w:t>
            </w:r>
          </w:p>
        </w:tc>
        <w:tc>
          <w:tcPr>
            <w:tcW w:w="2730" w:type="dxa"/>
          </w:tcPr>
          <w:p w:rsidR="004E7A99" w:rsidRPr="00373F90" w:rsidRDefault="004E7A99" w:rsidP="00922577">
            <w:pPr>
              <w:spacing w:line="240" w:lineRule="auto"/>
              <w:jc w:val="both"/>
              <w:rPr>
                <w:rFonts w:eastAsia="Times New Roman"/>
                <w:b/>
                <w:bCs/>
                <w:color w:val="000000"/>
                <w:shd w:val="clear" w:color="auto" w:fill="FFFFFF"/>
                <w:lang w:val="pl-PL"/>
              </w:rPr>
            </w:pPr>
            <w:r>
              <w:rPr>
                <w:rFonts w:eastAsia="Times New Roman"/>
                <w:b/>
                <w:bCs/>
                <w:color w:val="000000"/>
                <w:shd w:val="clear" w:color="auto" w:fill="FFFFFF"/>
                <w:lang w:val="pl-PL"/>
              </w:rPr>
              <w:t xml:space="preserve">  </w:t>
            </w:r>
            <w:proofErr w:type="spellStart"/>
            <w:r>
              <w:rPr>
                <w:rFonts w:eastAsia="Times New Roman"/>
                <w:b/>
                <w:bCs/>
                <w:color w:val="000000"/>
                <w:shd w:val="clear" w:color="auto" w:fill="FFFFFF"/>
                <w:lang w:val="pl-PL"/>
              </w:rPr>
              <w:t>Psychological</w:t>
            </w:r>
            <w:proofErr w:type="spellEnd"/>
            <w:r>
              <w:rPr>
                <w:rFonts w:eastAsia="Times New Roman"/>
                <w:b/>
                <w:bCs/>
                <w:color w:val="000000"/>
                <w:shd w:val="clear" w:color="auto" w:fill="FFFFFF"/>
                <w:lang w:val="pl-PL"/>
              </w:rPr>
              <w:t xml:space="preserve"> and </w:t>
            </w:r>
            <w:proofErr w:type="spellStart"/>
            <w:r>
              <w:rPr>
                <w:rFonts w:eastAsia="Times New Roman"/>
                <w:b/>
                <w:bCs/>
                <w:color w:val="000000"/>
                <w:shd w:val="clear" w:color="auto" w:fill="FFFFFF"/>
                <w:lang w:val="pl-PL"/>
              </w:rPr>
              <w:t>p</w:t>
            </w:r>
            <w:r w:rsidRPr="004E7A99">
              <w:rPr>
                <w:rFonts w:eastAsia="Times New Roman"/>
                <w:b/>
                <w:bCs/>
                <w:color w:val="000000"/>
                <w:shd w:val="clear" w:color="auto" w:fill="FFFFFF"/>
                <w:lang w:val="pl-PL"/>
              </w:rPr>
              <w:t>edagogical</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foundation</w:t>
            </w:r>
            <w:proofErr w:type="spellEnd"/>
            <w:r w:rsidRPr="004E7A99">
              <w:rPr>
                <w:rFonts w:eastAsia="Times New Roman"/>
                <w:b/>
                <w:bCs/>
                <w:color w:val="000000"/>
                <w:shd w:val="clear" w:color="auto" w:fill="FFFFFF"/>
                <w:lang w:val="pl-PL"/>
              </w:rPr>
              <w:t xml:space="preserve"> of </w:t>
            </w:r>
            <w:proofErr w:type="spellStart"/>
            <w:r w:rsidRPr="004E7A99">
              <w:rPr>
                <w:rFonts w:eastAsia="Times New Roman"/>
                <w:b/>
                <w:bCs/>
                <w:color w:val="000000"/>
                <w:shd w:val="clear" w:color="auto" w:fill="FFFFFF"/>
                <w:lang w:val="pl-PL"/>
              </w:rPr>
              <w:t>childrens</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second</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language</w:t>
            </w:r>
            <w:proofErr w:type="spellEnd"/>
            <w:r w:rsidRPr="004E7A99">
              <w:rPr>
                <w:rFonts w:eastAsia="Times New Roman"/>
                <w:b/>
                <w:bCs/>
                <w:color w:val="000000"/>
                <w:shd w:val="clear" w:color="auto" w:fill="FFFFFF"/>
                <w:lang w:val="pl-PL"/>
              </w:rPr>
              <w:t xml:space="preserve"> learning </w:t>
            </w:r>
            <w:r>
              <w:rPr>
                <w:rFonts w:eastAsia="Times New Roman"/>
                <w:b/>
                <w:bCs/>
                <w:color w:val="000000"/>
                <w:shd w:val="clear" w:color="auto" w:fill="FFFFFF"/>
                <w:lang w:val="pl-PL"/>
              </w:rPr>
              <w:t xml:space="preserve">/ </w:t>
            </w:r>
            <w:r w:rsidRPr="004E7A99">
              <w:rPr>
                <w:rFonts w:eastAsia="Times New Roman"/>
                <w:b/>
                <w:bCs/>
                <w:color w:val="000000"/>
                <w:shd w:val="clear" w:color="auto" w:fill="FFFFFF"/>
                <w:lang w:val="pl-PL"/>
              </w:rPr>
              <w:t>Psychologiczne i pedagogiczne podstawy nauczania języka angielskiego</w:t>
            </w:r>
          </w:p>
        </w:tc>
        <w:tc>
          <w:tcPr>
            <w:tcW w:w="4620" w:type="dxa"/>
          </w:tcPr>
          <w:p w:rsidR="004E7A99" w:rsidRPr="00373F90" w:rsidRDefault="004E7A99" w:rsidP="00922577">
            <w:pPr>
              <w:pStyle w:val="NormalnyWeb"/>
              <w:spacing w:before="0" w:beforeAutospacing="0" w:after="0" w:afterAutospacing="0"/>
              <w:jc w:val="both"/>
              <w:rPr>
                <w:rFonts w:ascii="Arial" w:hAnsi="Arial" w:cs="Arial"/>
                <w:color w:val="000000"/>
                <w:sz w:val="22"/>
                <w:szCs w:val="22"/>
              </w:rPr>
            </w:pPr>
          </w:p>
        </w:tc>
        <w:tc>
          <w:tcPr>
            <w:tcW w:w="1230" w:type="dxa"/>
          </w:tcPr>
          <w:p w:rsidR="004E7A99" w:rsidRPr="004E7A99" w:rsidRDefault="004E7A99" w:rsidP="00922577">
            <w:pPr>
              <w:spacing w:after="160" w:line="259" w:lineRule="auto"/>
              <w:rPr>
                <w:color w:val="FF0000"/>
                <w:lang w:val="pl-PL"/>
              </w:rPr>
            </w:pPr>
            <w:r w:rsidRPr="004E7A99">
              <w:rPr>
                <w:color w:val="000000" w:themeColor="text1"/>
                <w:lang w:val="pl-PL"/>
              </w:rPr>
              <w:t>4</w:t>
            </w:r>
          </w:p>
        </w:tc>
        <w:tc>
          <w:tcPr>
            <w:tcW w:w="1590" w:type="dxa"/>
          </w:tcPr>
          <w:p w:rsidR="004E7A99" w:rsidRPr="004E7A99" w:rsidRDefault="004E7A99" w:rsidP="00922577">
            <w:pPr>
              <w:spacing w:after="160" w:line="259" w:lineRule="auto"/>
              <w:rPr>
                <w:color w:val="FF0000"/>
                <w:lang w:val="pl-PL"/>
              </w:rPr>
            </w:pPr>
            <w:r>
              <w:rPr>
                <w:color w:val="FF0000"/>
                <w:lang w:val="pl-PL"/>
              </w:rPr>
              <w:t>?</w:t>
            </w:r>
          </w:p>
        </w:tc>
      </w:tr>
    </w:tbl>
    <w:p w:rsidR="001A7E96" w:rsidRPr="00373F90" w:rsidRDefault="001A7E96">
      <w:pPr>
        <w:spacing w:after="160" w:line="259" w:lineRule="auto"/>
        <w:rPr>
          <w:rFonts w:ascii="Calibri" w:eastAsia="Calibri" w:hAnsi="Calibri" w:cs="Calibri"/>
          <w:lang w:val="pl-PL"/>
        </w:rPr>
      </w:pPr>
    </w:p>
    <w:p w:rsidR="001A7E96" w:rsidRPr="00373F90" w:rsidRDefault="001A7E96">
      <w:pPr>
        <w:rPr>
          <w:lang w:val="pl-PL"/>
        </w:rPr>
      </w:pPr>
    </w:p>
    <w:sectPr w:rsidR="001A7E96" w:rsidRPr="00373F90">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1C6A"/>
    <w:rsid w:val="000C4CA8"/>
    <w:rsid w:val="00177C7D"/>
    <w:rsid w:val="001A7E96"/>
    <w:rsid w:val="00240760"/>
    <w:rsid w:val="002A7498"/>
    <w:rsid w:val="002D6277"/>
    <w:rsid w:val="00347EF5"/>
    <w:rsid w:val="00354ED5"/>
    <w:rsid w:val="00373F90"/>
    <w:rsid w:val="003D2CB3"/>
    <w:rsid w:val="004E7A99"/>
    <w:rsid w:val="00540A54"/>
    <w:rsid w:val="005B2E59"/>
    <w:rsid w:val="005B61E3"/>
    <w:rsid w:val="006571BC"/>
    <w:rsid w:val="00691F20"/>
    <w:rsid w:val="00891C0F"/>
    <w:rsid w:val="0089645A"/>
    <w:rsid w:val="008B5E44"/>
    <w:rsid w:val="00922577"/>
    <w:rsid w:val="00997481"/>
    <w:rsid w:val="00A2449A"/>
    <w:rsid w:val="00A4087A"/>
    <w:rsid w:val="00A90038"/>
    <w:rsid w:val="00A94AA6"/>
    <w:rsid w:val="00AF7BA0"/>
    <w:rsid w:val="00B708F4"/>
    <w:rsid w:val="00B77BE5"/>
    <w:rsid w:val="00DC4850"/>
    <w:rsid w:val="00E15FAF"/>
    <w:rsid w:val="00FE0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873</Words>
  <Characters>5238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23</cp:revision>
  <dcterms:created xsi:type="dcterms:W3CDTF">2020-12-08T13:27:00Z</dcterms:created>
  <dcterms:modified xsi:type="dcterms:W3CDTF">2021-10-28T10:06:00Z</dcterms:modified>
</cp:coreProperties>
</file>