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Faculty of Education </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University of Warsaw</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6F727A">
      <w:pPr>
        <w:pBdr>
          <w:top w:val="nil"/>
          <w:left w:val="nil"/>
          <w:bottom w:val="nil"/>
          <w:right w:val="nil"/>
          <w:between w:val="nil"/>
        </w:pBdr>
        <w:spacing w:after="160" w:line="259" w:lineRule="auto"/>
        <w:jc w:val="center"/>
        <w:rPr>
          <w:rFonts w:ascii="Arial" w:eastAsia="Arial" w:hAnsi="Arial" w:cs="Arial"/>
          <w:sz w:val="28"/>
          <w:szCs w:val="28"/>
        </w:rPr>
      </w:pPr>
      <w:r w:rsidRPr="009A4814">
        <w:rPr>
          <w:rFonts w:ascii="Arial" w:eastAsia="Arial" w:hAnsi="Arial" w:cs="Arial"/>
          <w:b/>
          <w:sz w:val="28"/>
          <w:szCs w:val="28"/>
        </w:rPr>
        <w:t>Courses in foreign languages</w:t>
      </w:r>
    </w:p>
    <w:p w:rsidR="00AF07DD" w:rsidRPr="009A4814" w:rsidRDefault="006F727A">
      <w:pPr>
        <w:pBdr>
          <w:top w:val="nil"/>
          <w:left w:val="nil"/>
          <w:bottom w:val="nil"/>
          <w:right w:val="nil"/>
          <w:between w:val="nil"/>
        </w:pBdr>
        <w:spacing w:after="160" w:line="259" w:lineRule="auto"/>
        <w:ind w:left="4956"/>
        <w:rPr>
          <w:rFonts w:ascii="Arial" w:eastAsia="Arial" w:hAnsi="Arial" w:cs="Arial"/>
          <w:sz w:val="28"/>
          <w:szCs w:val="28"/>
        </w:rPr>
      </w:pPr>
      <w:r w:rsidRPr="009A4814">
        <w:rPr>
          <w:rFonts w:ascii="Arial" w:eastAsia="Arial" w:hAnsi="Arial" w:cs="Arial"/>
          <w:b/>
          <w:sz w:val="28"/>
          <w:szCs w:val="28"/>
        </w:rPr>
        <w:t xml:space="preserve">       Winter semester 20</w:t>
      </w:r>
      <w:r w:rsidR="007B195F">
        <w:rPr>
          <w:rFonts w:ascii="Arial" w:eastAsia="Arial" w:hAnsi="Arial" w:cs="Arial"/>
          <w:b/>
          <w:sz w:val="28"/>
          <w:szCs w:val="28"/>
        </w:rPr>
        <w:t>22/23</w:t>
      </w:r>
      <w:bookmarkStart w:id="0" w:name="_GoBack"/>
      <w:bookmarkEnd w:id="0"/>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50"/>
        <w:gridCol w:w="3475"/>
        <w:gridCol w:w="6310"/>
        <w:gridCol w:w="1276"/>
        <w:gridCol w:w="1560"/>
      </w:tblGrid>
      <w:tr w:rsidR="009A4814" w:rsidRPr="009A4814">
        <w:tc>
          <w:tcPr>
            <w:tcW w:w="534" w:type="dxa"/>
          </w:tcPr>
          <w:p w:rsidR="00AF07DD" w:rsidRPr="009A4814" w:rsidRDefault="00AF07DD">
            <w:pPr>
              <w:keepNext/>
              <w:pBdr>
                <w:top w:val="nil"/>
                <w:left w:val="nil"/>
                <w:bottom w:val="nil"/>
                <w:right w:val="nil"/>
                <w:between w:val="nil"/>
              </w:pBdr>
              <w:spacing w:before="240" w:after="60"/>
              <w:rPr>
                <w:rFonts w:ascii="Arial" w:eastAsia="Arial" w:hAnsi="Arial" w:cs="Arial"/>
                <w:color w:val="92CDDC" w:themeColor="accent5" w:themeTint="99"/>
                <w:sz w:val="22"/>
                <w:szCs w:val="22"/>
              </w:rPr>
            </w:pPr>
          </w:p>
        </w:tc>
        <w:tc>
          <w:tcPr>
            <w:tcW w:w="2150"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 xml:space="preserve">USOS Code </w:t>
            </w:r>
          </w:p>
        </w:tc>
        <w:tc>
          <w:tcPr>
            <w:tcW w:w="3475"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Course’s title/ Lecturer</w:t>
            </w:r>
          </w:p>
        </w:tc>
        <w:tc>
          <w:tcPr>
            <w:tcW w:w="6310"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Brief description</w:t>
            </w:r>
          </w:p>
        </w:tc>
        <w:tc>
          <w:tcPr>
            <w:tcW w:w="1276"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ECTS/ language</w:t>
            </w:r>
          </w:p>
        </w:tc>
        <w:tc>
          <w:tcPr>
            <w:tcW w:w="1560" w:type="dxa"/>
          </w:tcPr>
          <w:p w:rsidR="00AF07DD" w:rsidRPr="009A4814" w:rsidRDefault="006F727A">
            <w:pPr>
              <w:keepNext/>
              <w:pBdr>
                <w:top w:val="nil"/>
                <w:left w:val="nil"/>
                <w:bottom w:val="nil"/>
                <w:right w:val="nil"/>
                <w:between w:val="nil"/>
              </w:pBdr>
              <w:spacing w:before="240" w:after="60"/>
              <w:rPr>
                <w:rFonts w:ascii="Arial" w:eastAsia="Arial" w:hAnsi="Arial" w:cs="Arial"/>
                <w:color w:val="92CDDC" w:themeColor="accent5" w:themeTint="99"/>
                <w:sz w:val="22"/>
                <w:szCs w:val="22"/>
              </w:rPr>
            </w:pPr>
            <w:r w:rsidRPr="009A4814">
              <w:rPr>
                <w:rFonts w:ascii="Arial" w:eastAsia="Arial" w:hAnsi="Arial" w:cs="Arial"/>
                <w:sz w:val="22"/>
                <w:szCs w:val="22"/>
              </w:rPr>
              <w:t>English level</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1.</w:t>
            </w:r>
          </w:p>
        </w:tc>
        <w:tc>
          <w:tcPr>
            <w:tcW w:w="2150"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highlight w:val="white"/>
              </w:rPr>
            </w:pPr>
            <w:r w:rsidRPr="004B5556">
              <w:rPr>
                <w:rFonts w:ascii="Arial" w:eastAsia="Arial" w:hAnsi="Arial" w:cs="Arial"/>
                <w:sz w:val="22"/>
                <w:szCs w:val="22"/>
                <w:highlight w:val="white"/>
              </w:rPr>
              <w:t>2300-GPTE-M2-</w:t>
            </w:r>
          </w:p>
          <w:p w:rsidR="00AF07DD"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highlight w:val="white"/>
              </w:rPr>
              <w:t>SLA</w:t>
            </w:r>
          </w:p>
          <w:p w:rsidR="009024F1" w:rsidRDefault="009024F1">
            <w:pPr>
              <w:pBdr>
                <w:top w:val="nil"/>
                <w:left w:val="nil"/>
                <w:bottom w:val="nil"/>
                <w:right w:val="nil"/>
                <w:between w:val="nil"/>
              </w:pBdr>
              <w:spacing w:after="160" w:line="259" w:lineRule="auto"/>
              <w:rPr>
                <w:rFonts w:ascii="Arial" w:eastAsia="Arial" w:hAnsi="Arial" w:cs="Arial"/>
                <w:sz w:val="22"/>
                <w:szCs w:val="22"/>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4B5556" w:rsidRDefault="00F60114" w:rsidP="004B5556">
            <w:pPr>
              <w:pBdr>
                <w:top w:val="nil"/>
                <w:left w:val="nil"/>
                <w:bottom w:val="nil"/>
                <w:right w:val="nil"/>
                <w:between w:val="nil"/>
              </w:pBdr>
              <w:spacing w:after="160" w:line="259" w:lineRule="auto"/>
              <w:rPr>
                <w:rFonts w:ascii="Arial" w:eastAsia="Arial" w:hAnsi="Arial" w:cs="Arial"/>
                <w:b/>
                <w:sz w:val="22"/>
                <w:szCs w:val="22"/>
              </w:rPr>
            </w:pPr>
            <w:r w:rsidRPr="005E6D3E">
              <w:rPr>
                <w:rFonts w:ascii="Arial" w:eastAsia="Arial" w:hAnsi="Arial" w:cs="Arial"/>
                <w:b/>
                <w:sz w:val="22"/>
                <w:szCs w:val="22"/>
              </w:rPr>
              <w:t>Second Language Acquisitions</w:t>
            </w:r>
            <w:r w:rsidRPr="005E6D3E">
              <w:rPr>
                <w:rFonts w:ascii="Arial" w:eastAsia="Arial" w:hAnsi="Arial" w:cs="Arial"/>
                <w:b/>
                <w:sz w:val="22"/>
                <w:szCs w:val="22"/>
                <w:highlight w:val="white"/>
              </w:rPr>
              <w:t xml:space="preserve"> </w:t>
            </w:r>
          </w:p>
          <w:p w:rsidR="004B5556" w:rsidRPr="004B5556" w:rsidRDefault="004B5556" w:rsidP="004B5556">
            <w:pPr>
              <w:pBdr>
                <w:top w:val="nil"/>
                <w:left w:val="nil"/>
                <w:bottom w:val="nil"/>
                <w:right w:val="nil"/>
                <w:between w:val="nil"/>
              </w:pBdr>
              <w:spacing w:after="160" w:line="259" w:lineRule="auto"/>
              <w:rPr>
                <w:rFonts w:ascii="Arial" w:eastAsia="Arial" w:hAnsi="Arial" w:cs="Arial"/>
                <w:b/>
                <w:sz w:val="22"/>
                <w:szCs w:val="22"/>
              </w:rPr>
            </w:pPr>
            <w:r w:rsidRPr="004B5556">
              <w:rPr>
                <w:rFonts w:ascii="Arial" w:eastAsia="Arial" w:hAnsi="Arial" w:cs="Arial"/>
                <w:b/>
                <w:sz w:val="22"/>
                <w:szCs w:val="22"/>
              </w:rPr>
              <w:t>on-line</w:t>
            </w:r>
          </w:p>
          <w:p w:rsidR="00F60114" w:rsidRPr="005E6D3E" w:rsidRDefault="00F60114">
            <w:pPr>
              <w:pBdr>
                <w:top w:val="nil"/>
                <w:left w:val="nil"/>
                <w:bottom w:val="nil"/>
                <w:right w:val="nil"/>
                <w:between w:val="nil"/>
              </w:pBdr>
              <w:spacing w:after="160" w:line="259" w:lineRule="auto"/>
              <w:rPr>
                <w:rFonts w:ascii="Arial" w:eastAsia="Arial" w:hAnsi="Arial" w:cs="Arial"/>
                <w:b/>
                <w:sz w:val="22"/>
                <w:szCs w:val="22"/>
                <w:highlight w:val="white"/>
              </w:rPr>
            </w:pPr>
          </w:p>
          <w:p w:rsidR="00AF07DD" w:rsidRPr="00DB6E68" w:rsidRDefault="004B5556">
            <w:pPr>
              <w:pBdr>
                <w:top w:val="nil"/>
                <w:left w:val="nil"/>
                <w:bottom w:val="nil"/>
                <w:right w:val="nil"/>
                <w:between w:val="nil"/>
              </w:pBdr>
              <w:spacing w:after="160" w:line="259" w:lineRule="auto"/>
              <w:rPr>
                <w:rFonts w:ascii="Arial" w:eastAsia="Arial" w:hAnsi="Arial" w:cs="Arial"/>
                <w:sz w:val="22"/>
                <w:szCs w:val="22"/>
              </w:rPr>
            </w:pPr>
            <w:proofErr w:type="spellStart"/>
            <w:r w:rsidRPr="004B5556">
              <w:rPr>
                <w:rFonts w:ascii="Arial" w:eastAsia="Arial" w:hAnsi="Arial" w:cs="Arial"/>
                <w:sz w:val="22"/>
                <w:szCs w:val="22"/>
                <w:highlight w:val="white"/>
              </w:rPr>
              <w:t>d</w:t>
            </w:r>
            <w:r w:rsidR="006F727A" w:rsidRPr="004B5556">
              <w:rPr>
                <w:rFonts w:ascii="Arial" w:eastAsia="Arial" w:hAnsi="Arial" w:cs="Arial"/>
                <w:sz w:val="22"/>
                <w:szCs w:val="22"/>
                <w:highlight w:val="white"/>
              </w:rPr>
              <w:t>r</w:t>
            </w:r>
            <w:proofErr w:type="spellEnd"/>
            <w:r w:rsidR="006F727A" w:rsidRPr="004B5556">
              <w:rPr>
                <w:rFonts w:ascii="Arial" w:eastAsia="Arial" w:hAnsi="Arial" w:cs="Arial"/>
                <w:sz w:val="22"/>
                <w:szCs w:val="22"/>
                <w:highlight w:val="white"/>
              </w:rPr>
              <w:t xml:space="preserve"> hab. </w:t>
            </w:r>
            <w:proofErr w:type="spellStart"/>
            <w:r w:rsidR="006F727A" w:rsidRPr="00DB6E68">
              <w:rPr>
                <w:rFonts w:ascii="Arial" w:eastAsia="Arial" w:hAnsi="Arial" w:cs="Arial"/>
                <w:sz w:val="22"/>
                <w:szCs w:val="22"/>
                <w:highlight w:val="white"/>
              </w:rPr>
              <w:t>Zbigniew</w:t>
            </w:r>
            <w:proofErr w:type="spellEnd"/>
            <w:r w:rsidR="006F727A" w:rsidRPr="00DB6E68">
              <w:rPr>
                <w:rFonts w:ascii="Arial" w:eastAsia="Arial" w:hAnsi="Arial" w:cs="Arial"/>
                <w:sz w:val="22"/>
                <w:szCs w:val="22"/>
                <w:highlight w:val="white"/>
              </w:rPr>
              <w:t xml:space="preserve"> </w:t>
            </w:r>
            <w:proofErr w:type="spellStart"/>
            <w:r w:rsidR="006F727A" w:rsidRPr="00DB6E68">
              <w:rPr>
                <w:rFonts w:ascii="Arial" w:eastAsia="Arial" w:hAnsi="Arial" w:cs="Arial"/>
                <w:sz w:val="22"/>
                <w:szCs w:val="22"/>
                <w:highlight w:val="white"/>
              </w:rPr>
              <w:t>Możejko</w:t>
            </w:r>
            <w:proofErr w:type="spellEnd"/>
            <w:r w:rsidR="006F727A" w:rsidRPr="00DB6E68">
              <w:rPr>
                <w:rFonts w:ascii="Arial" w:eastAsia="Arial" w:hAnsi="Arial" w:cs="Arial"/>
                <w:sz w:val="22"/>
                <w:szCs w:val="22"/>
                <w:highlight w:val="white"/>
              </w:rPr>
              <w:t xml:space="preserve"> </w:t>
            </w:r>
            <w:proofErr w:type="spellStart"/>
            <w:r w:rsidR="006F727A" w:rsidRPr="00DB6E68">
              <w:rPr>
                <w:rFonts w:ascii="Arial" w:eastAsia="Arial" w:hAnsi="Arial" w:cs="Arial"/>
                <w:sz w:val="22"/>
                <w:szCs w:val="22"/>
                <w:highlight w:val="white"/>
              </w:rPr>
              <w:t>prof.UW</w:t>
            </w:r>
            <w:proofErr w:type="spellEnd"/>
          </w:p>
          <w:p w:rsidR="00AF07DD" w:rsidRPr="00DB6E68"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DB6E68"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024F1" w:rsidRDefault="009024F1">
            <w:pPr>
              <w:pBdr>
                <w:top w:val="nil"/>
                <w:left w:val="nil"/>
                <w:bottom w:val="nil"/>
                <w:right w:val="nil"/>
                <w:between w:val="nil"/>
              </w:pBdr>
              <w:spacing w:after="160" w:line="259" w:lineRule="auto"/>
              <w:rPr>
                <w:rFonts w:ascii="Arial" w:eastAsia="Arial" w:hAnsi="Arial" w:cs="Arial"/>
                <w:color w:val="C00000"/>
                <w:sz w:val="22"/>
                <w:szCs w:val="22"/>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9A4814" w:rsidRDefault="006F727A">
            <w:pPr>
              <w:pBdr>
                <w:top w:val="nil"/>
                <w:left w:val="nil"/>
                <w:bottom w:val="nil"/>
                <w:right w:val="nil"/>
                <w:between w:val="nil"/>
              </w:pBdr>
              <w:spacing w:after="160"/>
              <w:rPr>
                <w:rFonts w:ascii="Arial" w:eastAsia="Arial" w:hAnsi="Arial" w:cs="Arial"/>
                <w:color w:val="92CDDC" w:themeColor="accent5" w:themeTint="99"/>
                <w:sz w:val="22"/>
                <w:szCs w:val="22"/>
              </w:rPr>
            </w:pPr>
            <w:r w:rsidRPr="004B5556">
              <w:rPr>
                <w:rFonts w:ascii="Arial" w:eastAsia="Arial" w:hAnsi="Arial" w:cs="Arial"/>
                <w:sz w:val="22"/>
                <w:szCs w:val="22"/>
              </w:rPr>
              <w:t>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content for each group will be designed on the ground of needs analysis.</w:t>
            </w:r>
          </w:p>
        </w:tc>
        <w:tc>
          <w:tcPr>
            <w:tcW w:w="1276"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2.</w:t>
            </w:r>
          </w:p>
        </w:tc>
        <w:tc>
          <w:tcPr>
            <w:tcW w:w="2150" w:type="dxa"/>
          </w:tcPr>
          <w:p w:rsidR="00AF07DD" w:rsidRPr="00FE72C1" w:rsidRDefault="006F727A">
            <w:pPr>
              <w:pBdr>
                <w:top w:val="nil"/>
                <w:left w:val="nil"/>
                <w:bottom w:val="nil"/>
                <w:right w:val="nil"/>
                <w:between w:val="nil"/>
              </w:pBdr>
              <w:spacing w:after="160" w:line="259" w:lineRule="auto"/>
              <w:rPr>
                <w:rFonts w:ascii="Arial" w:eastAsia="Arial" w:hAnsi="Arial" w:cs="Arial"/>
                <w:sz w:val="22"/>
                <w:szCs w:val="22"/>
                <w:highlight w:val="white"/>
              </w:rPr>
            </w:pPr>
            <w:r w:rsidRPr="00FE72C1">
              <w:rPr>
                <w:rFonts w:ascii="Arial" w:eastAsia="Arial" w:hAnsi="Arial" w:cs="Arial"/>
                <w:sz w:val="22"/>
                <w:szCs w:val="22"/>
                <w:highlight w:val="white"/>
              </w:rPr>
              <w:t>2300-GPTE-M1-</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highlight w:val="white"/>
              </w:rPr>
              <w:t>TEYL</w:t>
            </w:r>
          </w:p>
        </w:tc>
        <w:tc>
          <w:tcPr>
            <w:tcW w:w="3475" w:type="dxa"/>
          </w:tcPr>
          <w:p w:rsidR="00AF07DD" w:rsidRPr="009A4814" w:rsidRDefault="007C0A73">
            <w:pPr>
              <w:pBdr>
                <w:top w:val="nil"/>
                <w:left w:val="nil"/>
                <w:bottom w:val="nil"/>
                <w:right w:val="nil"/>
                <w:between w:val="nil"/>
              </w:pBdr>
              <w:spacing w:after="160" w:line="259" w:lineRule="auto"/>
              <w:rPr>
                <w:rFonts w:ascii="Arial" w:eastAsia="Arial" w:hAnsi="Arial" w:cs="Arial"/>
                <w:sz w:val="22"/>
                <w:szCs w:val="22"/>
                <w:highlight w:val="white"/>
              </w:rPr>
            </w:pPr>
            <w:r w:rsidRPr="009A4814">
              <w:rPr>
                <w:rFonts w:ascii="Arial" w:eastAsia="Arial" w:hAnsi="Arial" w:cs="Arial"/>
                <w:b/>
                <w:sz w:val="22"/>
                <w:szCs w:val="22"/>
              </w:rPr>
              <w:t>Teaching English to young learners</w:t>
            </w:r>
          </w:p>
          <w:p w:rsidR="009A4814" w:rsidRPr="003A7D6D" w:rsidRDefault="009A4814" w:rsidP="009A4814">
            <w:pPr>
              <w:pBdr>
                <w:top w:val="nil"/>
                <w:left w:val="nil"/>
                <w:bottom w:val="nil"/>
                <w:right w:val="nil"/>
                <w:between w:val="nil"/>
              </w:pBdr>
              <w:spacing w:after="160" w:line="259" w:lineRule="auto"/>
              <w:rPr>
                <w:rFonts w:ascii="Arial" w:eastAsia="Arial" w:hAnsi="Arial" w:cs="Arial"/>
                <w:sz w:val="22"/>
                <w:szCs w:val="22"/>
                <w:highlight w:val="white"/>
              </w:rPr>
            </w:pPr>
            <w:proofErr w:type="spellStart"/>
            <w:r w:rsidRPr="003A7D6D">
              <w:rPr>
                <w:rFonts w:ascii="Arial" w:eastAsia="Arial" w:hAnsi="Arial" w:cs="Arial"/>
                <w:sz w:val="22"/>
                <w:szCs w:val="22"/>
                <w:highlight w:val="white"/>
              </w:rPr>
              <w:lastRenderedPageBreak/>
              <w:t>mgr</w:t>
            </w:r>
            <w:proofErr w:type="spellEnd"/>
            <w:r w:rsidRPr="003A7D6D">
              <w:rPr>
                <w:rFonts w:ascii="Arial" w:eastAsia="Arial" w:hAnsi="Arial" w:cs="Arial"/>
                <w:sz w:val="22"/>
                <w:szCs w:val="22"/>
                <w:highlight w:val="white"/>
              </w:rPr>
              <w:t xml:space="preserve"> Joanna </w:t>
            </w:r>
            <w:proofErr w:type="spellStart"/>
            <w:r w:rsidRPr="003A7D6D">
              <w:rPr>
                <w:rFonts w:ascii="Arial" w:eastAsia="Arial" w:hAnsi="Arial" w:cs="Arial"/>
                <w:sz w:val="22"/>
                <w:szCs w:val="22"/>
                <w:highlight w:val="white"/>
              </w:rPr>
              <w:t>Głogowska</w:t>
            </w:r>
            <w:proofErr w:type="spellEnd"/>
          </w:p>
          <w:p w:rsidR="00AF07DD" w:rsidRDefault="00AF07DD" w:rsidP="009714E0">
            <w:pPr>
              <w:pBdr>
                <w:top w:val="nil"/>
                <w:left w:val="nil"/>
                <w:bottom w:val="nil"/>
                <w:right w:val="nil"/>
                <w:between w:val="nil"/>
              </w:pBdr>
              <w:spacing w:after="160" w:line="259" w:lineRule="auto"/>
              <w:rPr>
                <w:rFonts w:ascii="Arial" w:eastAsia="Arial" w:hAnsi="Arial" w:cs="Arial"/>
                <w:b/>
                <w:color w:val="92CDDC" w:themeColor="accent5" w:themeTint="99"/>
                <w:sz w:val="22"/>
                <w:szCs w:val="22"/>
                <w:highlight w:val="white"/>
              </w:rPr>
            </w:pPr>
          </w:p>
          <w:p w:rsidR="009024F1" w:rsidRPr="003A7D6D" w:rsidRDefault="009024F1" w:rsidP="009714E0">
            <w:pPr>
              <w:pBdr>
                <w:top w:val="nil"/>
                <w:left w:val="nil"/>
                <w:bottom w:val="nil"/>
                <w:right w:val="nil"/>
                <w:between w:val="nil"/>
              </w:pBdr>
              <w:spacing w:after="160" w:line="259" w:lineRule="auto"/>
              <w:rPr>
                <w:rFonts w:ascii="Arial" w:eastAsia="Arial" w:hAnsi="Arial" w:cs="Arial"/>
                <w:b/>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9A4814" w:rsidRDefault="006F727A">
            <w:pPr>
              <w:pBdr>
                <w:top w:val="nil"/>
                <w:left w:val="nil"/>
                <w:bottom w:val="nil"/>
                <w:right w:val="nil"/>
                <w:between w:val="nil"/>
              </w:pBdr>
              <w:spacing w:after="90"/>
              <w:rPr>
                <w:rFonts w:ascii="Arial" w:eastAsia="Arial" w:hAnsi="Arial" w:cs="Arial"/>
                <w:color w:val="92CDDC" w:themeColor="accent5" w:themeTint="99"/>
                <w:sz w:val="22"/>
                <w:szCs w:val="22"/>
              </w:rPr>
            </w:pPr>
            <w:r w:rsidRPr="009A4814">
              <w:rPr>
                <w:rFonts w:ascii="Arial" w:eastAsia="Arial" w:hAnsi="Arial" w:cs="Arial"/>
                <w:sz w:val="22"/>
                <w:szCs w:val="22"/>
              </w:rPr>
              <w:lastRenderedPageBreak/>
              <w:t xml:space="preserve">The course focuses on the practical preparation for  the role of a YL teacher. It will aim at helping the trainees to appreciate the significant role of a YL teacher and highlight the teaching </w:t>
            </w:r>
            <w:r w:rsidRPr="009A4814">
              <w:rPr>
                <w:rFonts w:ascii="Arial" w:eastAsia="Arial" w:hAnsi="Arial" w:cs="Arial"/>
                <w:sz w:val="22"/>
                <w:szCs w:val="22"/>
              </w:rPr>
              <w:lastRenderedPageBreak/>
              <w:t>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sz w:val="22"/>
                <w:szCs w:val="22"/>
              </w:rPr>
              <w:lastRenderedPageBreak/>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3.</w:t>
            </w:r>
          </w:p>
        </w:tc>
        <w:tc>
          <w:tcPr>
            <w:tcW w:w="2150" w:type="dxa"/>
          </w:tcPr>
          <w:p w:rsidR="00AF07DD" w:rsidRPr="009A4814" w:rsidRDefault="005E6D3E">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5E6D3E">
              <w:rPr>
                <w:rFonts w:ascii="Arial" w:eastAsia="Arial" w:hAnsi="Arial" w:cs="Arial"/>
                <w:sz w:val="24"/>
                <w:szCs w:val="24"/>
              </w:rPr>
              <w:t>2300-GPTE-M1-DTS</w:t>
            </w:r>
          </w:p>
        </w:tc>
        <w:tc>
          <w:tcPr>
            <w:tcW w:w="3475" w:type="dxa"/>
          </w:tcPr>
          <w:p w:rsidR="00AF057F" w:rsidRDefault="009A4814">
            <w:pPr>
              <w:pBdr>
                <w:top w:val="nil"/>
                <w:left w:val="nil"/>
                <w:bottom w:val="nil"/>
                <w:right w:val="nil"/>
                <w:between w:val="nil"/>
              </w:pBdr>
              <w:rPr>
                <w:rFonts w:ascii="Arial" w:hAnsi="Arial" w:cs="Arial"/>
                <w:b/>
                <w:color w:val="000000"/>
                <w:sz w:val="22"/>
                <w:szCs w:val="22"/>
              </w:rPr>
            </w:pPr>
            <w:r w:rsidRPr="004B5556">
              <w:rPr>
                <w:rFonts w:ascii="Arial" w:hAnsi="Arial" w:cs="Arial"/>
                <w:b/>
                <w:color w:val="000000"/>
                <w:sz w:val="22"/>
                <w:szCs w:val="22"/>
              </w:rPr>
              <w:t>Developing Teaching Skills</w:t>
            </w:r>
          </w:p>
          <w:p w:rsidR="004B5556" w:rsidRPr="004B5556" w:rsidRDefault="004B5556">
            <w:pPr>
              <w:pBdr>
                <w:top w:val="nil"/>
                <w:left w:val="nil"/>
                <w:bottom w:val="nil"/>
                <w:right w:val="nil"/>
                <w:between w:val="nil"/>
              </w:pBdr>
              <w:rPr>
                <w:rFonts w:ascii="Arial" w:eastAsia="Arial" w:hAnsi="Arial" w:cs="Arial"/>
                <w:b/>
                <w:color w:val="92CDDC" w:themeColor="accent5" w:themeTint="99"/>
                <w:sz w:val="22"/>
                <w:szCs w:val="22"/>
                <w:highlight w:val="white"/>
              </w:rPr>
            </w:pPr>
          </w:p>
          <w:p w:rsidR="00AF057F" w:rsidRDefault="00AF057F">
            <w:pPr>
              <w:pBdr>
                <w:top w:val="nil"/>
                <w:left w:val="nil"/>
                <w:bottom w:val="nil"/>
                <w:right w:val="nil"/>
                <w:between w:val="nil"/>
              </w:pBdr>
              <w:rPr>
                <w:rFonts w:ascii="Arial" w:eastAsia="Arial" w:hAnsi="Arial" w:cs="Arial"/>
                <w:b/>
                <w:sz w:val="22"/>
                <w:szCs w:val="22"/>
                <w:highlight w:val="white"/>
              </w:rPr>
            </w:pPr>
            <w:r w:rsidRPr="009A4814">
              <w:rPr>
                <w:rFonts w:ascii="Arial" w:eastAsia="Arial" w:hAnsi="Arial" w:cs="Arial"/>
                <w:b/>
                <w:sz w:val="22"/>
                <w:szCs w:val="22"/>
                <w:highlight w:val="white"/>
              </w:rPr>
              <w:t>on-line</w:t>
            </w:r>
          </w:p>
          <w:p w:rsidR="009A4814" w:rsidRDefault="009A4814">
            <w:pPr>
              <w:pBdr>
                <w:top w:val="nil"/>
                <w:left w:val="nil"/>
                <w:bottom w:val="nil"/>
                <w:right w:val="nil"/>
                <w:between w:val="nil"/>
              </w:pBdr>
              <w:rPr>
                <w:rFonts w:ascii="Arial" w:eastAsia="Arial" w:hAnsi="Arial" w:cs="Arial"/>
                <w:b/>
                <w:sz w:val="22"/>
                <w:szCs w:val="22"/>
                <w:highlight w:val="white"/>
              </w:rPr>
            </w:pPr>
          </w:p>
          <w:p w:rsidR="009A4814" w:rsidRDefault="009A4814">
            <w:pPr>
              <w:pBdr>
                <w:top w:val="nil"/>
                <w:left w:val="nil"/>
                <w:bottom w:val="nil"/>
                <w:right w:val="nil"/>
                <w:between w:val="nil"/>
              </w:pBdr>
              <w:rPr>
                <w:rFonts w:ascii="Arial" w:eastAsia="Arial" w:hAnsi="Arial" w:cs="Arial"/>
                <w:sz w:val="22"/>
                <w:szCs w:val="22"/>
                <w:highlight w:val="white"/>
              </w:rPr>
            </w:pPr>
            <w:proofErr w:type="spellStart"/>
            <w:r>
              <w:rPr>
                <w:rFonts w:ascii="Arial" w:eastAsia="Arial" w:hAnsi="Arial" w:cs="Arial"/>
                <w:sz w:val="22"/>
                <w:szCs w:val="22"/>
                <w:highlight w:val="white"/>
              </w:rPr>
              <w:t>mgr</w:t>
            </w:r>
            <w:proofErr w:type="spellEnd"/>
            <w:r>
              <w:rPr>
                <w:rFonts w:ascii="Arial" w:eastAsia="Arial" w:hAnsi="Arial" w:cs="Arial"/>
                <w:sz w:val="22"/>
                <w:szCs w:val="22"/>
                <w:highlight w:val="white"/>
              </w:rPr>
              <w:t xml:space="preserve"> Małgorzata Matysik</w:t>
            </w:r>
          </w:p>
          <w:p w:rsidR="009024F1" w:rsidRDefault="009024F1">
            <w:pPr>
              <w:pBdr>
                <w:top w:val="nil"/>
                <w:left w:val="nil"/>
                <w:bottom w:val="nil"/>
                <w:right w:val="nil"/>
                <w:between w:val="nil"/>
              </w:pBdr>
              <w:rPr>
                <w:rFonts w:ascii="Arial" w:eastAsia="Arial" w:hAnsi="Arial" w:cs="Arial"/>
                <w:sz w:val="22"/>
                <w:szCs w:val="22"/>
                <w:highlight w:val="white"/>
              </w:rPr>
            </w:pPr>
          </w:p>
          <w:p w:rsidR="009024F1" w:rsidRPr="009A4814" w:rsidRDefault="009024F1">
            <w:pPr>
              <w:pBdr>
                <w:top w:val="nil"/>
                <w:left w:val="nil"/>
                <w:bottom w:val="nil"/>
                <w:right w:val="nil"/>
                <w:between w:val="nil"/>
              </w:pBdr>
              <w:rPr>
                <w:rFonts w:ascii="Arial" w:eastAsia="Arial" w:hAnsi="Arial" w:cs="Arial"/>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9A4814" w:rsidRDefault="005E6D3E" w:rsidP="005E6D3E">
            <w:pPr>
              <w:rPr>
                <w:rFonts w:ascii="Arial" w:eastAsia="Arial" w:hAnsi="Arial" w:cs="Arial"/>
                <w:color w:val="92CDDC" w:themeColor="accent5" w:themeTint="99"/>
                <w:sz w:val="22"/>
                <w:szCs w:val="22"/>
              </w:rPr>
            </w:pPr>
            <w:r w:rsidRPr="005E6D3E">
              <w:rPr>
                <w:rFonts w:ascii="Arial" w:eastAsia="Arial" w:hAnsi="Arial" w:cs="Arial"/>
                <w:sz w:val="22"/>
                <w:szCs w:val="22"/>
              </w:rPr>
              <w:t>The course aims to equip the students preparing to be teachers of English to young learners with the broad view of language learning and teaching. This involves discussing the most important theories of language acquisition, approaches to teaching foreign languages and the techniques involved in adopting each of them, the overview of the content of teaching English as a foreign language as well as the background knowledge for developing classroom skills necessary in everyday practice.</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5E6D3E">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5E6D3E">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4.</w:t>
            </w:r>
          </w:p>
        </w:tc>
        <w:tc>
          <w:tcPr>
            <w:tcW w:w="2150" w:type="dxa"/>
          </w:tcPr>
          <w:p w:rsidR="00AF07DD" w:rsidRPr="00FE72C1" w:rsidRDefault="006F727A">
            <w:pPr>
              <w:pBdr>
                <w:top w:val="nil"/>
                <w:left w:val="nil"/>
                <w:bottom w:val="nil"/>
                <w:right w:val="nil"/>
                <w:between w:val="nil"/>
              </w:pBdr>
              <w:spacing w:after="160" w:line="259" w:lineRule="auto"/>
              <w:rPr>
                <w:rFonts w:ascii="Arial" w:eastAsia="Arial" w:hAnsi="Arial" w:cs="Arial"/>
                <w:sz w:val="22"/>
                <w:szCs w:val="22"/>
              </w:rPr>
            </w:pPr>
            <w:r w:rsidRPr="00FE72C1">
              <w:rPr>
                <w:rFonts w:ascii="Arial" w:eastAsia="Arial" w:hAnsi="Arial" w:cs="Arial"/>
                <w:sz w:val="22"/>
                <w:szCs w:val="22"/>
              </w:rPr>
              <w:t>2300-GPTE-CM3-</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PAD</w:t>
            </w:r>
          </w:p>
        </w:tc>
        <w:tc>
          <w:tcPr>
            <w:tcW w:w="3475" w:type="dxa"/>
          </w:tcPr>
          <w:p w:rsidR="001A10AD" w:rsidRDefault="00DC0344">
            <w:pPr>
              <w:pBdr>
                <w:top w:val="nil"/>
                <w:left w:val="nil"/>
                <w:bottom w:val="nil"/>
                <w:right w:val="nil"/>
                <w:between w:val="nil"/>
              </w:pBdr>
              <w:spacing w:after="160" w:line="259" w:lineRule="auto"/>
              <w:rPr>
                <w:rFonts w:ascii="Arial" w:eastAsia="Arial" w:hAnsi="Arial" w:cs="Arial"/>
                <w:b/>
                <w:sz w:val="22"/>
                <w:szCs w:val="22"/>
                <w:highlight w:val="white"/>
              </w:rPr>
            </w:pPr>
            <w:r w:rsidRPr="00FE72C1">
              <w:rPr>
                <w:rFonts w:ascii="Arial" w:eastAsia="Arial" w:hAnsi="Arial" w:cs="Arial"/>
                <w:b/>
                <w:sz w:val="22"/>
                <w:szCs w:val="22"/>
              </w:rPr>
              <w:t>Prof</w:t>
            </w:r>
            <w:r w:rsidR="001A10AD" w:rsidRPr="00FE72C1">
              <w:rPr>
                <w:rFonts w:ascii="Arial" w:eastAsia="Arial" w:hAnsi="Arial" w:cs="Arial"/>
                <w:b/>
                <w:sz w:val="22"/>
                <w:szCs w:val="22"/>
              </w:rPr>
              <w:t>es</w:t>
            </w:r>
            <w:r w:rsidRPr="00FE72C1">
              <w:rPr>
                <w:rFonts w:ascii="Arial" w:eastAsia="Arial" w:hAnsi="Arial" w:cs="Arial"/>
                <w:b/>
                <w:sz w:val="22"/>
                <w:szCs w:val="22"/>
              </w:rPr>
              <w:t>s</w:t>
            </w:r>
            <w:r w:rsidR="001A10AD" w:rsidRPr="00FE72C1">
              <w:rPr>
                <w:rFonts w:ascii="Arial" w:eastAsia="Arial" w:hAnsi="Arial" w:cs="Arial"/>
                <w:b/>
                <w:sz w:val="22"/>
                <w:szCs w:val="22"/>
              </w:rPr>
              <w:t>ional and academic discourse</w:t>
            </w:r>
            <w:r w:rsidR="001A10AD" w:rsidRPr="00FE72C1">
              <w:rPr>
                <w:rFonts w:ascii="Arial" w:eastAsia="Arial" w:hAnsi="Arial" w:cs="Arial"/>
                <w:b/>
                <w:sz w:val="22"/>
                <w:szCs w:val="22"/>
                <w:highlight w:val="white"/>
              </w:rPr>
              <w:t xml:space="preserve"> </w:t>
            </w:r>
          </w:p>
          <w:p w:rsidR="00FE72C1" w:rsidRPr="00FE72C1" w:rsidRDefault="00FE72C1">
            <w:pPr>
              <w:pBdr>
                <w:top w:val="nil"/>
                <w:left w:val="nil"/>
                <w:bottom w:val="nil"/>
                <w:right w:val="nil"/>
                <w:between w:val="nil"/>
              </w:pBdr>
              <w:spacing w:after="160" w:line="259" w:lineRule="auto"/>
              <w:rPr>
                <w:rFonts w:ascii="Arial" w:eastAsia="Arial" w:hAnsi="Arial" w:cs="Arial"/>
                <w:b/>
                <w:sz w:val="22"/>
                <w:szCs w:val="22"/>
                <w:highlight w:val="white"/>
              </w:rPr>
            </w:pPr>
            <w:r w:rsidRPr="00FE72C1">
              <w:rPr>
                <w:rFonts w:ascii="Arial" w:eastAsia="Arial" w:hAnsi="Arial" w:cs="Arial"/>
                <w:b/>
                <w:sz w:val="22"/>
                <w:szCs w:val="22"/>
                <w:highlight w:val="white"/>
              </w:rPr>
              <w:t>on-line</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roofErr w:type="spellStart"/>
            <w:r w:rsidRPr="00FE72C1">
              <w:rPr>
                <w:rFonts w:ascii="Arial" w:eastAsia="Arial" w:hAnsi="Arial" w:cs="Arial"/>
                <w:sz w:val="22"/>
                <w:szCs w:val="22"/>
                <w:highlight w:val="white"/>
              </w:rPr>
              <w:t>mgr</w:t>
            </w:r>
            <w:proofErr w:type="spellEnd"/>
            <w:r w:rsidRPr="00FE72C1">
              <w:rPr>
                <w:rFonts w:ascii="Arial" w:eastAsia="Arial" w:hAnsi="Arial" w:cs="Arial"/>
                <w:sz w:val="22"/>
                <w:szCs w:val="22"/>
                <w:highlight w:val="white"/>
              </w:rPr>
              <w:t xml:space="preserve"> Małgorzata Matysik</w:t>
            </w:r>
            <w:r w:rsidR="00FE72C1">
              <w:rPr>
                <w:rFonts w:ascii="Arial" w:eastAsia="Arial" w:hAnsi="Arial" w:cs="Arial"/>
                <w:color w:val="92CDDC" w:themeColor="accent5" w:themeTint="99"/>
                <w:sz w:val="22"/>
                <w:szCs w:val="22"/>
                <w:highlight w:val="white"/>
              </w:rPr>
              <w:t xml:space="preserve">  </w:t>
            </w:r>
          </w:p>
          <w:p w:rsidR="00AF3AF4" w:rsidRPr="009A4814" w:rsidRDefault="009024F1">
            <w:pPr>
              <w:pBdr>
                <w:top w:val="nil"/>
                <w:left w:val="nil"/>
                <w:bottom w:val="nil"/>
                <w:right w:val="nil"/>
                <w:between w:val="nil"/>
              </w:pBdr>
              <w:spacing w:after="160" w:line="259" w:lineRule="auto"/>
              <w:rPr>
                <w:rFonts w:ascii="Arial" w:eastAsia="Arial" w:hAnsi="Arial" w:cs="Arial"/>
                <w:b/>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9A4814" w:rsidRDefault="006F727A">
            <w:pPr>
              <w:pBdr>
                <w:top w:val="nil"/>
                <w:left w:val="nil"/>
                <w:bottom w:val="nil"/>
                <w:right w:val="nil"/>
                <w:between w:val="nil"/>
              </w:pBdr>
              <w:spacing w:after="90"/>
              <w:rPr>
                <w:rFonts w:ascii="Arial" w:eastAsia="Arial" w:hAnsi="Arial" w:cs="Arial"/>
                <w:color w:val="92CDDC" w:themeColor="accent5" w:themeTint="99"/>
                <w:sz w:val="22"/>
                <w:szCs w:val="22"/>
              </w:rPr>
            </w:pPr>
            <w:r w:rsidRPr="00FE72C1">
              <w:rPr>
                <w:rFonts w:ascii="Arial" w:eastAsia="Arial" w:hAnsi="Arial" w:cs="Arial"/>
                <w:sz w:val="22"/>
                <w:szCs w:val="22"/>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5.</w:t>
            </w:r>
          </w:p>
        </w:tc>
        <w:tc>
          <w:tcPr>
            <w:tcW w:w="2150"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2300-GPTE-CM3-</w:t>
            </w:r>
          </w:p>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RME</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4B5556" w:rsidRPr="004B5556" w:rsidRDefault="006F727A">
            <w:pPr>
              <w:pBdr>
                <w:top w:val="nil"/>
                <w:left w:val="nil"/>
                <w:bottom w:val="nil"/>
                <w:right w:val="nil"/>
                <w:between w:val="nil"/>
              </w:pBdr>
              <w:spacing w:after="160" w:line="259" w:lineRule="auto"/>
              <w:rPr>
                <w:rFonts w:ascii="Arial" w:eastAsia="Arial" w:hAnsi="Arial" w:cs="Arial"/>
                <w:b/>
                <w:sz w:val="22"/>
                <w:szCs w:val="22"/>
                <w:highlight w:val="white"/>
              </w:rPr>
            </w:pPr>
            <w:r w:rsidRPr="004B5556">
              <w:rPr>
                <w:rFonts w:ascii="Arial" w:eastAsia="Arial" w:hAnsi="Arial" w:cs="Arial"/>
                <w:b/>
                <w:sz w:val="22"/>
                <w:szCs w:val="22"/>
                <w:highlight w:val="white"/>
              </w:rPr>
              <w:lastRenderedPageBreak/>
              <w:t>Research methods in education</w:t>
            </w:r>
          </w:p>
          <w:p w:rsidR="00037C8C" w:rsidRDefault="004B5556">
            <w:pPr>
              <w:pBdr>
                <w:top w:val="nil"/>
                <w:left w:val="nil"/>
                <w:bottom w:val="nil"/>
                <w:right w:val="nil"/>
                <w:between w:val="nil"/>
              </w:pBdr>
              <w:spacing w:after="160" w:line="259" w:lineRule="auto"/>
              <w:rPr>
                <w:rFonts w:ascii="Arial" w:hAnsi="Arial" w:cs="Arial"/>
                <w:color w:val="000000"/>
                <w:sz w:val="22"/>
                <w:szCs w:val="22"/>
              </w:rPr>
            </w:pPr>
            <w:proofErr w:type="spellStart"/>
            <w:r>
              <w:rPr>
                <w:rFonts w:ascii="Arial" w:hAnsi="Arial" w:cs="Arial"/>
                <w:color w:val="000000"/>
                <w:sz w:val="22"/>
                <w:szCs w:val="22"/>
              </w:rPr>
              <w:t>dr</w:t>
            </w:r>
            <w:proofErr w:type="spellEnd"/>
            <w:r>
              <w:rPr>
                <w:rFonts w:ascii="Arial" w:hAnsi="Arial" w:cs="Arial"/>
                <w:color w:val="000000"/>
                <w:sz w:val="22"/>
                <w:szCs w:val="22"/>
              </w:rPr>
              <w:t xml:space="preserve"> Urszula</w:t>
            </w:r>
            <w:r w:rsidRPr="004B5556">
              <w:rPr>
                <w:rFonts w:ascii="Arial" w:hAnsi="Arial" w:cs="Arial"/>
                <w:color w:val="000000"/>
                <w:sz w:val="22"/>
                <w:szCs w:val="22"/>
              </w:rPr>
              <w:t xml:space="preserve"> </w:t>
            </w:r>
            <w:proofErr w:type="spellStart"/>
            <w:r w:rsidRPr="004B5556">
              <w:rPr>
                <w:rFonts w:ascii="Arial" w:hAnsi="Arial" w:cs="Arial"/>
                <w:color w:val="000000"/>
                <w:sz w:val="22"/>
                <w:szCs w:val="22"/>
              </w:rPr>
              <w:t>Markowska-Manista</w:t>
            </w:r>
            <w:proofErr w:type="spellEnd"/>
          </w:p>
          <w:p w:rsidR="009024F1" w:rsidRDefault="009024F1">
            <w:pPr>
              <w:pBdr>
                <w:top w:val="nil"/>
                <w:left w:val="nil"/>
                <w:bottom w:val="nil"/>
                <w:right w:val="nil"/>
                <w:between w:val="nil"/>
              </w:pBdr>
              <w:spacing w:after="160" w:line="259" w:lineRule="auto"/>
              <w:rPr>
                <w:rFonts w:ascii="Arial" w:hAnsi="Arial" w:cs="Arial"/>
                <w:color w:val="000000"/>
                <w:sz w:val="22"/>
                <w:szCs w:val="22"/>
              </w:rPr>
            </w:pPr>
          </w:p>
          <w:p w:rsidR="009024F1" w:rsidRDefault="009024F1">
            <w:pPr>
              <w:pBdr>
                <w:top w:val="nil"/>
                <w:left w:val="nil"/>
                <w:bottom w:val="nil"/>
                <w:right w:val="nil"/>
                <w:between w:val="nil"/>
              </w:pBdr>
              <w:spacing w:after="160" w:line="259" w:lineRule="auto"/>
              <w:rPr>
                <w:rFonts w:ascii="Arial" w:hAnsi="Arial" w:cs="Arial"/>
                <w:color w:val="000000"/>
                <w:sz w:val="22"/>
                <w:szCs w:val="22"/>
              </w:rPr>
            </w:pPr>
          </w:p>
          <w:p w:rsidR="009024F1" w:rsidRPr="004B5556"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lastRenderedPageBreak/>
              <w:t xml:space="preserve">This course stresses the scientific aspects of research in the field of education. The strengths and limitations of various educational research designs/methods will be emphasized. </w:t>
            </w:r>
          </w:p>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t xml:space="preserve">The course provides the students with the fundamental knowledge and skills necessary for conducting quality </w:t>
            </w:r>
            <w:r w:rsidRPr="004B5556">
              <w:rPr>
                <w:rFonts w:ascii="Arial" w:eastAsia="Arial" w:hAnsi="Arial" w:cs="Arial"/>
                <w:sz w:val="22"/>
                <w:szCs w:val="22"/>
              </w:rPr>
              <w:lastRenderedPageBreak/>
              <w:t>research in the field of education. Course prepares students to become critical readers of research in the area of education, who are sensitive ethical aspects of research.</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xml:space="preserve">Students are encouraged to design studies that address important and current educational issues, gather data to shed light on these issues, analyze these data, and derive conclusions based on their analyses. </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Topics to be covered include:</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Purposes and types of educational research</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Ethical issues in educational research</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Steps in carrying out a research study</w:t>
            </w:r>
          </w:p>
          <w:p w:rsidR="00AF07DD" w:rsidRPr="004B5556" w:rsidRDefault="006F727A">
            <w:pPr>
              <w:pBdr>
                <w:top w:val="nil"/>
                <w:left w:val="nil"/>
                <w:bottom w:val="nil"/>
                <w:right w:val="nil"/>
                <w:between w:val="nil"/>
              </w:pBdr>
              <w:rPr>
                <w:rFonts w:ascii="Arial" w:eastAsia="Arial" w:hAnsi="Arial" w:cs="Arial"/>
                <w:sz w:val="22"/>
                <w:szCs w:val="22"/>
              </w:rPr>
            </w:pPr>
            <w:r w:rsidRPr="004B5556">
              <w:rPr>
                <w:rFonts w:ascii="Arial" w:eastAsia="Arial" w:hAnsi="Arial" w:cs="Arial"/>
                <w:sz w:val="22"/>
                <w:szCs w:val="22"/>
              </w:rPr>
              <w:t>- Qualitative research and its research methods</w:t>
            </w:r>
          </w:p>
          <w:p w:rsidR="00AF07DD" w:rsidRPr="009A4814" w:rsidRDefault="006F727A">
            <w:pPr>
              <w:pBdr>
                <w:top w:val="nil"/>
                <w:left w:val="nil"/>
                <w:bottom w:val="nil"/>
                <w:right w:val="nil"/>
                <w:between w:val="nil"/>
              </w:pBdr>
              <w:rPr>
                <w:color w:val="92CDDC" w:themeColor="accent5" w:themeTint="99"/>
                <w:sz w:val="22"/>
                <w:szCs w:val="22"/>
              </w:rPr>
            </w:pPr>
            <w:r w:rsidRPr="004B5556">
              <w:rPr>
                <w:rFonts w:ascii="Arial" w:eastAsia="Arial" w:hAnsi="Arial" w:cs="Arial"/>
                <w:sz w:val="22"/>
                <w:szCs w:val="22"/>
              </w:rPr>
              <w:t>- Quantitative research and its research methods</w:t>
            </w:r>
          </w:p>
        </w:tc>
        <w:tc>
          <w:tcPr>
            <w:tcW w:w="1276" w:type="dxa"/>
          </w:tcPr>
          <w:p w:rsidR="00AF07DD" w:rsidRPr="004B5556" w:rsidRDefault="006F727A">
            <w:pPr>
              <w:pBdr>
                <w:top w:val="nil"/>
                <w:left w:val="nil"/>
                <w:bottom w:val="nil"/>
                <w:right w:val="nil"/>
                <w:between w:val="nil"/>
              </w:pBdr>
              <w:spacing w:after="160" w:line="259" w:lineRule="auto"/>
              <w:rPr>
                <w:rFonts w:ascii="Arial" w:eastAsia="Arial" w:hAnsi="Arial" w:cs="Arial"/>
                <w:sz w:val="22"/>
                <w:szCs w:val="22"/>
              </w:rPr>
            </w:pPr>
            <w:r w:rsidRPr="004B5556">
              <w:rPr>
                <w:rFonts w:ascii="Arial" w:eastAsia="Arial" w:hAnsi="Arial" w:cs="Arial"/>
                <w:sz w:val="22"/>
                <w:szCs w:val="22"/>
              </w:rPr>
              <w:lastRenderedPageBreak/>
              <w:t>4</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jc w:val="right"/>
              <w:rPr>
                <w:rFonts w:ascii="Arial" w:eastAsia="Arial" w:hAnsi="Arial" w:cs="Arial"/>
                <w:color w:val="000000" w:themeColor="text1"/>
                <w:sz w:val="22"/>
                <w:szCs w:val="22"/>
              </w:rPr>
            </w:pPr>
            <w:r>
              <w:rPr>
                <w:rFonts w:ascii="Arial" w:eastAsia="Arial" w:hAnsi="Arial" w:cs="Arial"/>
                <w:color w:val="92CDDC" w:themeColor="accent5" w:themeTint="99"/>
                <w:sz w:val="22"/>
                <w:szCs w:val="22"/>
              </w:rPr>
              <w:t xml:space="preserve">       </w:t>
            </w:r>
            <w:r>
              <w:rPr>
                <w:rFonts w:ascii="Arial" w:eastAsia="Arial" w:hAnsi="Arial" w:cs="Arial"/>
                <w:color w:val="000000" w:themeColor="text1"/>
                <w:sz w:val="22"/>
                <w:szCs w:val="22"/>
              </w:rPr>
              <w:t xml:space="preserve">6. </w:t>
            </w:r>
          </w:p>
        </w:tc>
        <w:tc>
          <w:tcPr>
            <w:tcW w:w="2150" w:type="dxa"/>
          </w:tcPr>
          <w:p w:rsidR="00AF07DD" w:rsidRPr="00FE72C1" w:rsidRDefault="006F727A">
            <w:pPr>
              <w:pBdr>
                <w:top w:val="nil"/>
                <w:left w:val="nil"/>
                <w:bottom w:val="nil"/>
                <w:right w:val="nil"/>
                <w:between w:val="nil"/>
              </w:pBdr>
              <w:spacing w:after="160" w:line="259" w:lineRule="auto"/>
              <w:rPr>
                <w:rFonts w:ascii="Arial" w:eastAsia="Arial" w:hAnsi="Arial" w:cs="Arial"/>
                <w:sz w:val="22"/>
                <w:szCs w:val="22"/>
                <w:highlight w:val="white"/>
              </w:rPr>
            </w:pPr>
            <w:r w:rsidRPr="00FE72C1">
              <w:rPr>
                <w:rFonts w:ascii="Arial" w:eastAsia="Arial" w:hAnsi="Arial" w:cs="Arial"/>
                <w:sz w:val="22"/>
                <w:szCs w:val="22"/>
                <w:highlight w:val="white"/>
              </w:rPr>
              <w:t>2300-GPTE-M3-</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highlight w:val="white"/>
              </w:rPr>
              <w:t>TRT</w:t>
            </w:r>
          </w:p>
        </w:tc>
        <w:tc>
          <w:tcPr>
            <w:tcW w:w="3475" w:type="dxa"/>
          </w:tcPr>
          <w:p w:rsidR="00AF07DD" w:rsidRPr="00FE72C1" w:rsidRDefault="001A10AD">
            <w:pPr>
              <w:pBdr>
                <w:top w:val="nil"/>
                <w:left w:val="nil"/>
                <w:bottom w:val="nil"/>
                <w:right w:val="nil"/>
                <w:between w:val="nil"/>
              </w:pBdr>
              <w:spacing w:after="160" w:line="259" w:lineRule="auto"/>
              <w:rPr>
                <w:rFonts w:ascii="Arial" w:eastAsia="Arial" w:hAnsi="Arial" w:cs="Arial"/>
                <w:sz w:val="22"/>
                <w:szCs w:val="22"/>
                <w:highlight w:val="white"/>
              </w:rPr>
            </w:pPr>
            <w:r w:rsidRPr="00FE72C1">
              <w:rPr>
                <w:rFonts w:ascii="Arial" w:eastAsia="Arial" w:hAnsi="Arial" w:cs="Arial"/>
                <w:b/>
                <w:sz w:val="22"/>
                <w:szCs w:val="22"/>
              </w:rPr>
              <w:t>Tools of reflective teaching</w:t>
            </w:r>
            <w:r w:rsidRPr="00FE72C1">
              <w:rPr>
                <w:rFonts w:ascii="Arial" w:eastAsia="Arial" w:hAnsi="Arial" w:cs="Arial"/>
                <w:b/>
                <w:sz w:val="22"/>
                <w:szCs w:val="22"/>
                <w:highlight w:val="white"/>
              </w:rPr>
              <w:t xml:space="preserve"> </w:t>
            </w:r>
          </w:p>
          <w:p w:rsidR="00AF07DD" w:rsidRPr="00FE72C1" w:rsidRDefault="002723D0">
            <w:pPr>
              <w:pBdr>
                <w:top w:val="nil"/>
                <w:left w:val="nil"/>
                <w:bottom w:val="nil"/>
                <w:right w:val="nil"/>
                <w:between w:val="nil"/>
              </w:pBdr>
              <w:spacing w:after="160" w:line="259" w:lineRule="auto"/>
              <w:rPr>
                <w:rFonts w:ascii="Arial" w:eastAsia="Arial" w:hAnsi="Arial" w:cs="Arial"/>
                <w:sz w:val="22"/>
                <w:szCs w:val="22"/>
                <w:highlight w:val="white"/>
              </w:rPr>
            </w:pPr>
            <w:proofErr w:type="spellStart"/>
            <w:r w:rsidRPr="00FE72C1">
              <w:rPr>
                <w:rFonts w:ascii="Arial" w:eastAsia="Arial" w:hAnsi="Arial" w:cs="Arial"/>
                <w:sz w:val="22"/>
                <w:szCs w:val="22"/>
                <w:highlight w:val="white"/>
              </w:rPr>
              <w:t>mgr</w:t>
            </w:r>
            <w:proofErr w:type="spellEnd"/>
            <w:r w:rsidRPr="00FE72C1">
              <w:rPr>
                <w:rFonts w:ascii="Arial" w:eastAsia="Arial" w:hAnsi="Arial" w:cs="Arial"/>
                <w:sz w:val="22"/>
                <w:szCs w:val="22"/>
                <w:highlight w:val="white"/>
              </w:rPr>
              <w:t xml:space="preserve"> Joanna </w:t>
            </w:r>
            <w:proofErr w:type="spellStart"/>
            <w:r w:rsidRPr="00FE72C1">
              <w:rPr>
                <w:rFonts w:ascii="Arial" w:eastAsia="Arial" w:hAnsi="Arial" w:cs="Arial"/>
                <w:sz w:val="22"/>
                <w:szCs w:val="22"/>
                <w:highlight w:val="white"/>
              </w:rPr>
              <w:t>Głogowska</w:t>
            </w:r>
            <w:proofErr w:type="spellEnd"/>
          </w:p>
          <w:p w:rsidR="00BC1E75" w:rsidRDefault="00BC1E75">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r>
              <w:rPr>
                <w:rFonts w:ascii="Arial" w:eastAsia="Arial" w:hAnsi="Arial" w:cs="Arial"/>
                <w:color w:val="C00000"/>
                <w:sz w:val="22"/>
                <w:szCs w:val="22"/>
              </w:rPr>
              <w:t>available when GPTE study star</w:t>
            </w:r>
            <w:r w:rsidRPr="009024F1">
              <w:rPr>
                <w:rFonts w:ascii="Arial" w:eastAsia="Arial" w:hAnsi="Arial" w:cs="Arial"/>
                <w:color w:val="C00000"/>
                <w:sz w:val="22"/>
                <w:szCs w:val="22"/>
              </w:rPr>
              <w:t>ts</w:t>
            </w:r>
          </w:p>
        </w:tc>
        <w:tc>
          <w:tcPr>
            <w:tcW w:w="6310" w:type="dxa"/>
          </w:tcPr>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 xml:space="preserve">Trainees will: </w:t>
            </w:r>
          </w:p>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Engage in a variety of tasks which require reflection on the teaching process and its outcomes</w:t>
            </w:r>
          </w:p>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 xml:space="preserve">Practice critical observation by analyzing examples of teaching ( practicum teachers, peers, video, lesson-transcripts, case studies) </w:t>
            </w:r>
          </w:p>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 xml:space="preserve">Discuss the aim and recognize the value of using  learning/teaching portfolio s </w:t>
            </w:r>
          </w:p>
          <w:p w:rsidR="00AF07DD" w:rsidRPr="00FE72C1" w:rsidRDefault="006F727A">
            <w:pPr>
              <w:pBdr>
                <w:top w:val="nil"/>
                <w:left w:val="nil"/>
                <w:bottom w:val="nil"/>
                <w:right w:val="nil"/>
                <w:between w:val="nil"/>
              </w:pBdr>
              <w:rPr>
                <w:rFonts w:ascii="Arial" w:eastAsia="Arial" w:hAnsi="Arial" w:cs="Arial"/>
                <w:sz w:val="22"/>
                <w:szCs w:val="22"/>
              </w:rPr>
            </w:pPr>
            <w:r w:rsidRPr="00FE72C1">
              <w:rPr>
                <w:rFonts w:ascii="Arial" w:eastAsia="Arial" w:hAnsi="Arial" w:cs="Arial"/>
                <w:sz w:val="22"/>
                <w:szCs w:val="22"/>
              </w:rPr>
              <w:t>Investigate a variety of portfolio types and  entries and actively work on their own materials</w:t>
            </w:r>
          </w:p>
          <w:p w:rsidR="00AF07DD" w:rsidRPr="009A4814" w:rsidRDefault="006F727A">
            <w:pPr>
              <w:pBdr>
                <w:top w:val="nil"/>
                <w:left w:val="nil"/>
                <w:bottom w:val="nil"/>
                <w:right w:val="nil"/>
                <w:between w:val="nil"/>
              </w:pBdr>
              <w:rPr>
                <w:color w:val="92CDDC" w:themeColor="accent5" w:themeTint="99"/>
                <w:sz w:val="22"/>
                <w:szCs w:val="22"/>
              </w:rPr>
            </w:pPr>
            <w:r w:rsidRPr="00FE72C1">
              <w:rPr>
                <w:rFonts w:ascii="Arial" w:eastAsia="Arial" w:hAnsi="Arial" w:cs="Arial"/>
                <w:sz w:val="22"/>
                <w:szCs w:val="22"/>
              </w:rPr>
              <w:t>Discuss and  formulate a teaching philosophy statement</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FE72C1">
              <w:rPr>
                <w:rFonts w:ascii="Arial" w:eastAsia="Arial" w:hAnsi="Arial" w:cs="Arial"/>
                <w:sz w:val="22"/>
                <w:szCs w:val="22"/>
              </w:rPr>
              <w:t>C1</w:t>
            </w:r>
          </w:p>
        </w:tc>
      </w:tr>
      <w:tr w:rsidR="009A4814" w:rsidRPr="009A4814">
        <w:tc>
          <w:tcPr>
            <w:tcW w:w="534" w:type="dxa"/>
          </w:tcPr>
          <w:p w:rsidR="00AF07DD" w:rsidRPr="00F92221" w:rsidRDefault="00F92221">
            <w:pPr>
              <w:pBdr>
                <w:top w:val="nil"/>
                <w:left w:val="nil"/>
                <w:bottom w:val="nil"/>
                <w:right w:val="nil"/>
                <w:between w:val="nil"/>
              </w:pBdr>
              <w:jc w:val="right"/>
              <w:rPr>
                <w:rFonts w:ascii="Arial" w:eastAsia="Arial" w:hAnsi="Arial" w:cs="Arial"/>
                <w:color w:val="000000" w:themeColor="text1"/>
                <w:sz w:val="22"/>
                <w:szCs w:val="22"/>
              </w:rPr>
            </w:pPr>
            <w:r>
              <w:rPr>
                <w:rFonts w:ascii="Arial" w:eastAsia="Arial" w:hAnsi="Arial" w:cs="Arial"/>
                <w:color w:val="000000" w:themeColor="text1"/>
                <w:sz w:val="22"/>
                <w:szCs w:val="22"/>
              </w:rPr>
              <w:t xml:space="preserve">7. </w:t>
            </w:r>
          </w:p>
        </w:tc>
        <w:tc>
          <w:tcPr>
            <w:tcW w:w="2150" w:type="dxa"/>
          </w:tcPr>
          <w:p w:rsidR="00AF07DD" w:rsidRPr="009A4814" w:rsidRDefault="004B5556">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2300-GPTE-M2-PG</w:t>
            </w:r>
          </w:p>
        </w:tc>
        <w:tc>
          <w:tcPr>
            <w:tcW w:w="3475" w:type="dxa"/>
          </w:tcPr>
          <w:p w:rsidR="004B5556" w:rsidRDefault="004B5556">
            <w:pPr>
              <w:pBdr>
                <w:top w:val="nil"/>
                <w:left w:val="nil"/>
                <w:bottom w:val="nil"/>
                <w:right w:val="nil"/>
                <w:between w:val="nil"/>
              </w:pBdr>
              <w:spacing w:after="160" w:line="259" w:lineRule="auto"/>
              <w:rPr>
                <w:rFonts w:ascii="Arial" w:hAnsi="Arial" w:cs="Arial"/>
                <w:b/>
                <w:color w:val="000000"/>
                <w:sz w:val="22"/>
                <w:szCs w:val="22"/>
              </w:rPr>
            </w:pPr>
            <w:r w:rsidRPr="004B5556">
              <w:rPr>
                <w:rFonts w:ascii="Arial" w:hAnsi="Arial" w:cs="Arial"/>
                <w:b/>
                <w:color w:val="000000"/>
                <w:sz w:val="22"/>
                <w:szCs w:val="22"/>
              </w:rPr>
              <w:t xml:space="preserve">Pedagogical grammar </w:t>
            </w:r>
          </w:p>
          <w:p w:rsidR="004B5556" w:rsidRPr="004B5556" w:rsidRDefault="004B5556">
            <w:pPr>
              <w:pBdr>
                <w:top w:val="nil"/>
                <w:left w:val="nil"/>
                <w:bottom w:val="nil"/>
                <w:right w:val="nil"/>
                <w:between w:val="nil"/>
              </w:pBdr>
              <w:spacing w:after="160" w:line="259" w:lineRule="auto"/>
              <w:rPr>
                <w:rFonts w:ascii="Arial" w:hAnsi="Arial" w:cs="Arial"/>
                <w:b/>
                <w:color w:val="000000"/>
                <w:sz w:val="22"/>
                <w:szCs w:val="22"/>
              </w:rPr>
            </w:pPr>
            <w:r>
              <w:rPr>
                <w:rFonts w:ascii="Arial" w:hAnsi="Arial" w:cs="Arial"/>
                <w:b/>
                <w:color w:val="000000"/>
                <w:sz w:val="22"/>
                <w:szCs w:val="22"/>
              </w:rPr>
              <w:t>on-line</w:t>
            </w:r>
          </w:p>
          <w:p w:rsidR="00AF07DD" w:rsidRDefault="004B5556">
            <w:pPr>
              <w:pBdr>
                <w:top w:val="nil"/>
                <w:left w:val="nil"/>
                <w:bottom w:val="nil"/>
                <w:right w:val="nil"/>
                <w:between w:val="nil"/>
              </w:pBdr>
              <w:spacing w:after="160" w:line="259" w:lineRule="auto"/>
              <w:rPr>
                <w:rFonts w:ascii="Arial" w:eastAsia="Arial" w:hAnsi="Arial" w:cs="Arial"/>
                <w:sz w:val="22"/>
                <w:szCs w:val="22"/>
                <w:highlight w:val="white"/>
              </w:rPr>
            </w:pPr>
            <w:proofErr w:type="spellStart"/>
            <w:r>
              <w:rPr>
                <w:rFonts w:ascii="Arial" w:eastAsia="Arial" w:hAnsi="Arial" w:cs="Arial"/>
                <w:sz w:val="22"/>
                <w:szCs w:val="22"/>
                <w:highlight w:val="white"/>
              </w:rPr>
              <w:t>mgr</w:t>
            </w:r>
            <w:proofErr w:type="spellEnd"/>
            <w:r>
              <w:rPr>
                <w:rFonts w:ascii="Arial" w:eastAsia="Arial" w:hAnsi="Arial" w:cs="Arial"/>
                <w:sz w:val="22"/>
                <w:szCs w:val="22"/>
                <w:highlight w:val="white"/>
              </w:rPr>
              <w:t xml:space="preserve"> Małgorzata Matysik</w:t>
            </w:r>
          </w:p>
          <w:p w:rsidR="009024F1" w:rsidRPr="009A4814" w:rsidRDefault="009024F1" w:rsidP="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r w:rsidRPr="009024F1">
              <w:rPr>
                <w:rFonts w:ascii="Arial" w:eastAsia="Arial" w:hAnsi="Arial" w:cs="Arial"/>
                <w:color w:val="C00000"/>
                <w:sz w:val="22"/>
                <w:szCs w:val="22"/>
              </w:rPr>
              <w:t>available when GPTE study st</w:t>
            </w:r>
            <w:r>
              <w:rPr>
                <w:rFonts w:ascii="Arial" w:eastAsia="Arial" w:hAnsi="Arial" w:cs="Arial"/>
                <w:color w:val="C00000"/>
                <w:sz w:val="22"/>
                <w:szCs w:val="22"/>
              </w:rPr>
              <w:t>a</w:t>
            </w:r>
            <w:r w:rsidRPr="009024F1">
              <w:rPr>
                <w:rFonts w:ascii="Arial" w:eastAsia="Arial" w:hAnsi="Arial" w:cs="Arial"/>
                <w:color w:val="C00000"/>
                <w:sz w:val="22"/>
                <w:szCs w:val="22"/>
              </w:rPr>
              <w:t>rts</w:t>
            </w:r>
          </w:p>
        </w:tc>
        <w:tc>
          <w:tcPr>
            <w:tcW w:w="6310" w:type="dxa"/>
          </w:tcPr>
          <w:p w:rsidR="00AF07DD" w:rsidRPr="009A4814" w:rsidRDefault="004B5556" w:rsidP="004B5556">
            <w:pPr>
              <w:pBdr>
                <w:top w:val="nil"/>
                <w:left w:val="nil"/>
                <w:bottom w:val="nil"/>
                <w:right w:val="nil"/>
                <w:between w:val="nil"/>
              </w:pBdr>
              <w:spacing w:after="90"/>
              <w:rPr>
                <w:rFonts w:ascii="Arial" w:eastAsia="Arial" w:hAnsi="Arial" w:cs="Arial"/>
                <w:color w:val="92CDDC" w:themeColor="accent5" w:themeTint="99"/>
                <w:sz w:val="22"/>
                <w:szCs w:val="22"/>
              </w:rPr>
            </w:pPr>
            <w:r w:rsidRPr="004B5556">
              <w:rPr>
                <w:rFonts w:ascii="Arial" w:eastAsia="Arial" w:hAnsi="Arial" w:cs="Arial"/>
                <w:sz w:val="22"/>
                <w:szCs w:val="22"/>
              </w:rPr>
              <w:t>The course is intended for speakers of English who already know and use the whole grammar of the English language. It focuses on increasing the students’ awareness and understanding of grammar and their knowledge of metalanguage, in order to enable them to discuss grammar issues at all levels of expertise.</w:t>
            </w:r>
          </w:p>
        </w:tc>
        <w:tc>
          <w:tcPr>
            <w:tcW w:w="1276"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4</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4B5556">
              <w:rPr>
                <w:rFonts w:ascii="Arial" w:eastAsia="Arial" w:hAnsi="Arial" w:cs="Arial"/>
                <w:sz w:val="22"/>
                <w:szCs w:val="22"/>
              </w:rPr>
              <w:t>C1</w:t>
            </w:r>
          </w:p>
        </w:tc>
      </w:tr>
      <w:tr w:rsidR="009A4814" w:rsidRPr="009A481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92CDDC" w:themeColor="accent5" w:themeTint="99"/>
                <w:sz w:val="22"/>
                <w:szCs w:val="22"/>
              </w:rPr>
              <w:lastRenderedPageBreak/>
              <w:t xml:space="preserve">     </w:t>
            </w:r>
            <w:r>
              <w:rPr>
                <w:rFonts w:ascii="Arial" w:eastAsia="Arial" w:hAnsi="Arial" w:cs="Arial"/>
                <w:color w:val="000000" w:themeColor="text1"/>
                <w:sz w:val="22"/>
                <w:szCs w:val="22"/>
              </w:rPr>
              <w:t>8.</w:t>
            </w:r>
          </w:p>
        </w:tc>
        <w:tc>
          <w:tcPr>
            <w:tcW w:w="2150" w:type="dxa"/>
          </w:tcPr>
          <w:p w:rsidR="00AF07DD" w:rsidRPr="009A4814" w:rsidRDefault="00445C72">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2300-GPTE-M6-II-AE</w:t>
            </w:r>
          </w:p>
        </w:tc>
        <w:tc>
          <w:tcPr>
            <w:tcW w:w="3475"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3A7D6D">
              <w:rPr>
                <w:rFonts w:ascii="Arial" w:eastAsia="Arial" w:hAnsi="Arial" w:cs="Arial"/>
                <w:b/>
                <w:color w:val="000000" w:themeColor="text1"/>
                <w:sz w:val="22"/>
                <w:szCs w:val="22"/>
                <w:highlight w:val="white"/>
              </w:rPr>
              <w:t>Art education</w:t>
            </w:r>
          </w:p>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3A7D6D">
              <w:rPr>
                <w:rFonts w:ascii="Arial" w:eastAsia="Arial" w:hAnsi="Arial" w:cs="Arial"/>
                <w:color w:val="000000" w:themeColor="text1"/>
                <w:sz w:val="22"/>
                <w:szCs w:val="22"/>
                <w:highlight w:val="white"/>
              </w:rPr>
              <w:t>mgr</w:t>
            </w:r>
            <w:proofErr w:type="spellEnd"/>
            <w:r w:rsidRPr="003A7D6D">
              <w:rPr>
                <w:rFonts w:ascii="Arial" w:eastAsia="Arial" w:hAnsi="Arial" w:cs="Arial"/>
                <w:color w:val="000000" w:themeColor="text1"/>
                <w:sz w:val="22"/>
                <w:szCs w:val="22"/>
                <w:highlight w:val="white"/>
              </w:rPr>
              <w:t xml:space="preserve"> Agata Kotlarczuk</w:t>
            </w:r>
          </w:p>
          <w:p w:rsidR="00EE7E7F" w:rsidRDefault="00EE7E7F">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tc>
        <w:tc>
          <w:tcPr>
            <w:tcW w:w="6310" w:type="dxa"/>
          </w:tcPr>
          <w:p w:rsidR="00AF07DD" w:rsidRPr="003A7D6D" w:rsidRDefault="006F727A">
            <w:pPr>
              <w:pBdr>
                <w:top w:val="nil"/>
                <w:left w:val="nil"/>
                <w:bottom w:val="nil"/>
                <w:right w:val="nil"/>
                <w:between w:val="nil"/>
              </w:pBdr>
              <w:spacing w:after="90"/>
              <w:rPr>
                <w:rFonts w:ascii="Arial" w:eastAsia="Arial" w:hAnsi="Arial" w:cs="Arial"/>
                <w:color w:val="000000" w:themeColor="text1"/>
                <w:sz w:val="22"/>
                <w:szCs w:val="22"/>
              </w:rPr>
            </w:pPr>
            <w:r w:rsidRPr="003A7D6D">
              <w:rPr>
                <w:rFonts w:ascii="Arial" w:eastAsia="Arial" w:hAnsi="Arial" w:cs="Arial"/>
                <w:color w:val="000000" w:themeColor="text1"/>
                <w:sz w:val="22"/>
                <w:szCs w:val="22"/>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AF07DD" w:rsidRPr="003A7D6D" w:rsidRDefault="006F727A">
            <w:pPr>
              <w:pBdr>
                <w:top w:val="nil"/>
                <w:left w:val="nil"/>
                <w:bottom w:val="nil"/>
                <w:right w:val="nil"/>
                <w:between w:val="nil"/>
              </w:pBdr>
              <w:spacing w:after="90"/>
              <w:rPr>
                <w:rFonts w:ascii="Arial" w:eastAsia="Arial" w:hAnsi="Arial" w:cs="Arial"/>
                <w:color w:val="000000" w:themeColor="text1"/>
                <w:sz w:val="22"/>
                <w:szCs w:val="22"/>
              </w:rPr>
            </w:pPr>
            <w:r w:rsidRPr="003A7D6D">
              <w:rPr>
                <w:rFonts w:ascii="Arial" w:eastAsia="Arial" w:hAnsi="Arial" w:cs="Arial"/>
                <w:color w:val="000000" w:themeColor="text1"/>
                <w:sz w:val="22"/>
                <w:szCs w:val="22"/>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AF07DD" w:rsidRPr="009A4814" w:rsidRDefault="00AF07DD">
            <w:pPr>
              <w:pBdr>
                <w:top w:val="nil"/>
                <w:left w:val="nil"/>
                <w:bottom w:val="nil"/>
                <w:right w:val="nil"/>
                <w:between w:val="nil"/>
              </w:pBdr>
              <w:spacing w:after="90"/>
              <w:rPr>
                <w:rFonts w:ascii="Arial" w:eastAsia="Arial" w:hAnsi="Arial" w:cs="Arial"/>
                <w:color w:val="92CDDC" w:themeColor="accent5" w:themeTint="99"/>
                <w:sz w:val="22"/>
                <w:szCs w:val="22"/>
              </w:rPr>
            </w:pPr>
          </w:p>
        </w:tc>
        <w:tc>
          <w:tcPr>
            <w:tcW w:w="1276"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4</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1560"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C1</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r>
      <w:tr w:rsidR="009A4814" w:rsidRPr="009A4814">
        <w:trPr>
          <w:trHeight w:val="758"/>
        </w:trPr>
        <w:tc>
          <w:tcPr>
            <w:tcW w:w="534" w:type="dxa"/>
          </w:tcPr>
          <w:p w:rsidR="00AF07DD" w:rsidRPr="009A4814" w:rsidRDefault="00F92221" w:rsidP="00FC6504">
            <w:pPr>
              <w:pBdr>
                <w:top w:val="nil"/>
                <w:left w:val="nil"/>
                <w:bottom w:val="nil"/>
                <w:right w:val="nil"/>
                <w:between w:val="nil"/>
              </w:pBdr>
              <w:rPr>
                <w:rFonts w:ascii="Arial" w:eastAsia="Arial" w:hAnsi="Arial" w:cs="Arial"/>
                <w:color w:val="92CDDC" w:themeColor="accent5" w:themeTint="99"/>
                <w:sz w:val="22"/>
                <w:szCs w:val="22"/>
              </w:rPr>
            </w:pPr>
            <w:r>
              <w:rPr>
                <w:rFonts w:ascii="Arial" w:eastAsia="Arial" w:hAnsi="Arial" w:cs="Arial"/>
                <w:color w:val="92CDDC" w:themeColor="accent5" w:themeTint="99"/>
                <w:sz w:val="22"/>
                <w:szCs w:val="22"/>
              </w:rPr>
              <w:t xml:space="preserve">    </w:t>
            </w:r>
            <w:r w:rsidRPr="00F92221">
              <w:rPr>
                <w:rFonts w:ascii="Arial" w:eastAsia="Arial" w:hAnsi="Arial" w:cs="Arial"/>
                <w:color w:val="000000" w:themeColor="text1"/>
                <w:sz w:val="22"/>
                <w:szCs w:val="22"/>
              </w:rPr>
              <w:t>9.</w:t>
            </w:r>
          </w:p>
        </w:tc>
        <w:tc>
          <w:tcPr>
            <w:tcW w:w="2150" w:type="dxa"/>
          </w:tcPr>
          <w:p w:rsidR="00AF07DD" w:rsidRPr="00965D27" w:rsidRDefault="00476B4E">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2300-GPTE-M6-II-LE</w:t>
            </w:r>
          </w:p>
        </w:tc>
        <w:tc>
          <w:tcPr>
            <w:tcW w:w="3475"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965D27">
              <w:rPr>
                <w:rFonts w:ascii="Arial" w:eastAsia="Arial" w:hAnsi="Arial" w:cs="Arial"/>
                <w:b/>
                <w:color w:val="000000" w:themeColor="text1"/>
                <w:sz w:val="22"/>
                <w:szCs w:val="22"/>
                <w:highlight w:val="white"/>
              </w:rPr>
              <w:t>Language education</w:t>
            </w:r>
          </w:p>
          <w:p w:rsidR="00AF07DD" w:rsidRDefault="00965D27">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965D27">
              <w:rPr>
                <w:rFonts w:ascii="Arial" w:eastAsia="Arial" w:hAnsi="Arial" w:cs="Arial"/>
                <w:color w:val="000000" w:themeColor="text1"/>
                <w:sz w:val="22"/>
                <w:szCs w:val="22"/>
                <w:highlight w:val="white"/>
              </w:rPr>
              <w:t>dr</w:t>
            </w:r>
            <w:proofErr w:type="spellEnd"/>
            <w:r w:rsidR="006F727A" w:rsidRPr="00965D27">
              <w:rPr>
                <w:rFonts w:ascii="Arial" w:eastAsia="Arial" w:hAnsi="Arial" w:cs="Arial"/>
                <w:color w:val="000000" w:themeColor="text1"/>
                <w:sz w:val="22"/>
                <w:szCs w:val="22"/>
                <w:highlight w:val="white"/>
              </w:rPr>
              <w:t xml:space="preserve"> Joanna </w:t>
            </w:r>
            <w:proofErr w:type="spellStart"/>
            <w:r w:rsidR="006F727A" w:rsidRPr="00965D27">
              <w:rPr>
                <w:rFonts w:ascii="Arial" w:eastAsia="Arial" w:hAnsi="Arial" w:cs="Arial"/>
                <w:color w:val="000000" w:themeColor="text1"/>
                <w:sz w:val="22"/>
                <w:szCs w:val="22"/>
                <w:highlight w:val="white"/>
              </w:rPr>
              <w:t>Dobkowska</w:t>
            </w:r>
            <w:proofErr w:type="spellEnd"/>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9024F1" w:rsidRPr="00965D27"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tc>
        <w:tc>
          <w:tcPr>
            <w:tcW w:w="6310" w:type="dxa"/>
          </w:tcPr>
          <w:p w:rsidR="00AF07DD" w:rsidRPr="00965D27" w:rsidRDefault="006F727A">
            <w:pPr>
              <w:pBdr>
                <w:top w:val="nil"/>
                <w:left w:val="nil"/>
                <w:bottom w:val="nil"/>
                <w:right w:val="nil"/>
                <w:between w:val="nil"/>
              </w:pBdr>
              <w:spacing w:after="90"/>
              <w:rPr>
                <w:rFonts w:ascii="Arial" w:eastAsia="Arial" w:hAnsi="Arial" w:cs="Arial"/>
                <w:color w:val="000000" w:themeColor="text1"/>
                <w:sz w:val="22"/>
                <w:szCs w:val="22"/>
              </w:rPr>
            </w:pPr>
            <w:r w:rsidRPr="00965D27">
              <w:rPr>
                <w:rFonts w:ascii="Arial" w:eastAsia="Arial" w:hAnsi="Arial" w:cs="Arial"/>
                <w:color w:val="000000" w:themeColor="text1"/>
                <w:sz w:val="22"/>
                <w:szCs w:val="22"/>
              </w:rPr>
              <w:t>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education of bilingual children and children with special educational needs. Reading, writing, communication, working with text in early education - the teacher’s folder.</w:t>
            </w:r>
          </w:p>
        </w:tc>
        <w:tc>
          <w:tcPr>
            <w:tcW w:w="1276"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4</w:t>
            </w:r>
          </w:p>
        </w:tc>
        <w:tc>
          <w:tcPr>
            <w:tcW w:w="1560"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C1</w:t>
            </w:r>
          </w:p>
        </w:tc>
      </w:tr>
      <w:tr w:rsidR="009A4814" w:rsidRPr="009A4814">
        <w:trPr>
          <w:trHeight w:val="758"/>
        </w:trPr>
        <w:tc>
          <w:tcPr>
            <w:tcW w:w="534" w:type="dxa"/>
          </w:tcPr>
          <w:p w:rsidR="00AF07DD" w:rsidRPr="009A4814" w:rsidRDefault="006F727A" w:rsidP="00F92221">
            <w:pPr>
              <w:pBdr>
                <w:top w:val="nil"/>
                <w:left w:val="nil"/>
                <w:bottom w:val="nil"/>
                <w:right w:val="nil"/>
                <w:between w:val="nil"/>
              </w:pBdr>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    </w:t>
            </w:r>
            <w:r w:rsidR="00F92221">
              <w:rPr>
                <w:rFonts w:ascii="Arial" w:eastAsia="Arial" w:hAnsi="Arial" w:cs="Arial"/>
                <w:color w:val="000000" w:themeColor="text1"/>
                <w:sz w:val="22"/>
                <w:szCs w:val="22"/>
              </w:rPr>
              <w:t>10.</w:t>
            </w:r>
          </w:p>
        </w:tc>
        <w:tc>
          <w:tcPr>
            <w:tcW w:w="2150" w:type="dxa"/>
          </w:tcPr>
          <w:p w:rsidR="00AF07DD" w:rsidRPr="00965D27" w:rsidRDefault="00561E4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2300-GPTE-M6-II-MATH</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561E4A" w:rsidRPr="00784C97" w:rsidRDefault="00561E4A">
            <w:pPr>
              <w:pBdr>
                <w:top w:val="nil"/>
                <w:left w:val="nil"/>
                <w:bottom w:val="nil"/>
                <w:right w:val="nil"/>
                <w:between w:val="nil"/>
              </w:pBdr>
              <w:spacing w:after="160" w:line="259" w:lineRule="auto"/>
              <w:rPr>
                <w:rFonts w:ascii="Arial" w:eastAsia="Arial" w:hAnsi="Arial" w:cs="Arial"/>
                <w:b/>
                <w:color w:val="000000" w:themeColor="text1"/>
                <w:sz w:val="22"/>
                <w:szCs w:val="22"/>
              </w:rPr>
            </w:pPr>
            <w:r w:rsidRPr="00784C97">
              <w:rPr>
                <w:rFonts w:ascii="Arial" w:eastAsia="Arial" w:hAnsi="Arial" w:cs="Arial"/>
                <w:b/>
                <w:color w:val="000000" w:themeColor="text1"/>
                <w:sz w:val="22"/>
                <w:szCs w:val="22"/>
              </w:rPr>
              <w:lastRenderedPageBreak/>
              <w:t>Math education</w:t>
            </w:r>
          </w:p>
          <w:p w:rsidR="00AF07DD" w:rsidRPr="00784C97"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784C97">
              <w:rPr>
                <w:rFonts w:ascii="Arial" w:eastAsia="Arial" w:hAnsi="Arial" w:cs="Arial"/>
                <w:color w:val="000000" w:themeColor="text1"/>
                <w:sz w:val="22"/>
                <w:szCs w:val="22"/>
                <w:highlight w:val="white"/>
              </w:rPr>
              <w:t>mgr</w:t>
            </w:r>
            <w:proofErr w:type="spellEnd"/>
            <w:r w:rsidRPr="00784C97">
              <w:rPr>
                <w:rFonts w:ascii="Arial" w:eastAsia="Arial" w:hAnsi="Arial" w:cs="Arial"/>
                <w:color w:val="000000" w:themeColor="text1"/>
                <w:sz w:val="22"/>
                <w:szCs w:val="22"/>
                <w:highlight w:val="white"/>
              </w:rPr>
              <w:t xml:space="preserve"> </w:t>
            </w:r>
            <w:proofErr w:type="spellStart"/>
            <w:r w:rsidRPr="00784C97">
              <w:rPr>
                <w:rFonts w:ascii="Arial" w:eastAsia="Arial" w:hAnsi="Arial" w:cs="Arial"/>
                <w:color w:val="000000" w:themeColor="text1"/>
                <w:sz w:val="22"/>
                <w:szCs w:val="22"/>
                <w:highlight w:val="white"/>
              </w:rPr>
              <w:t>Mirosława</w:t>
            </w:r>
            <w:proofErr w:type="spellEnd"/>
            <w:r w:rsidRPr="00784C97">
              <w:rPr>
                <w:rFonts w:ascii="Arial" w:eastAsia="Arial" w:hAnsi="Arial" w:cs="Arial"/>
                <w:color w:val="000000" w:themeColor="text1"/>
                <w:sz w:val="22"/>
                <w:szCs w:val="22"/>
                <w:highlight w:val="white"/>
              </w:rPr>
              <w:t xml:space="preserve"> </w:t>
            </w:r>
            <w:proofErr w:type="spellStart"/>
            <w:r w:rsidRPr="00784C97">
              <w:rPr>
                <w:rFonts w:ascii="Arial" w:eastAsia="Arial" w:hAnsi="Arial" w:cs="Arial"/>
                <w:color w:val="000000" w:themeColor="text1"/>
                <w:sz w:val="22"/>
                <w:szCs w:val="22"/>
                <w:highlight w:val="white"/>
              </w:rPr>
              <w:t>Ciechowska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p w:rsidR="009024F1"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tc>
        <w:tc>
          <w:tcPr>
            <w:tcW w:w="6310" w:type="dxa"/>
          </w:tcPr>
          <w:p w:rsidR="00AF07DD" w:rsidRPr="00784C97" w:rsidRDefault="006F727A">
            <w:pPr>
              <w:pBdr>
                <w:top w:val="nil"/>
                <w:left w:val="nil"/>
                <w:bottom w:val="nil"/>
                <w:right w:val="nil"/>
                <w:between w:val="nil"/>
              </w:pBdr>
              <w:spacing w:before="300" w:after="90"/>
              <w:rPr>
                <w:rFonts w:ascii="Arial" w:eastAsia="Arial" w:hAnsi="Arial" w:cs="Arial"/>
                <w:color w:val="000000" w:themeColor="text1"/>
                <w:sz w:val="22"/>
                <w:szCs w:val="22"/>
              </w:rPr>
            </w:pPr>
            <w:r w:rsidRPr="00784C97">
              <w:rPr>
                <w:rFonts w:ascii="Arial" w:eastAsia="Arial" w:hAnsi="Arial" w:cs="Arial"/>
                <w:color w:val="000000" w:themeColor="text1"/>
                <w:sz w:val="22"/>
                <w:szCs w:val="22"/>
              </w:rPr>
              <w:lastRenderedPageBreak/>
              <w:t xml:space="preserve">The world of mathematics needs to be presented to students in a positive and friendly manner. New educational approaches and active teaching methods allow educators to take their pupils on an exciting and engaging journey. </w:t>
            </w:r>
          </w:p>
          <w:p w:rsidR="00AF07DD" w:rsidRPr="009A4814" w:rsidRDefault="006F727A">
            <w:pPr>
              <w:pBdr>
                <w:top w:val="nil"/>
                <w:left w:val="nil"/>
                <w:bottom w:val="nil"/>
                <w:right w:val="nil"/>
                <w:between w:val="nil"/>
              </w:pBdr>
              <w:spacing w:after="90"/>
              <w:rPr>
                <w:rFonts w:ascii="Times New Roman" w:eastAsia="Times New Roman" w:hAnsi="Times New Roman" w:cs="Times New Roman"/>
                <w:color w:val="92CDDC" w:themeColor="accent5" w:themeTint="99"/>
                <w:sz w:val="24"/>
                <w:szCs w:val="24"/>
              </w:rPr>
            </w:pPr>
            <w:r w:rsidRPr="00784C97">
              <w:rPr>
                <w:rFonts w:ascii="Arial" w:eastAsia="Arial" w:hAnsi="Arial" w:cs="Arial"/>
                <w:color w:val="000000" w:themeColor="text1"/>
                <w:sz w:val="22"/>
                <w:szCs w:val="22"/>
              </w:rPr>
              <w:lastRenderedPageBreak/>
              <w:t>Math is the most international of all subjects and should be taught every day. Numeracy is the bridge between mathematics and the real world, and we should all understand how important it is to teach it efficiently, effectively, and with an infectious enthusiasm</w:t>
            </w:r>
            <w:r w:rsidRPr="00784C97">
              <w:rPr>
                <w:rFonts w:ascii="Times New Roman" w:eastAsia="Times New Roman" w:hAnsi="Times New Roman" w:cs="Times New Roman"/>
                <w:color w:val="000000" w:themeColor="text1"/>
                <w:sz w:val="24"/>
                <w:szCs w:val="24"/>
              </w:rPr>
              <w:t xml:space="preserve">. </w:t>
            </w:r>
          </w:p>
        </w:tc>
        <w:tc>
          <w:tcPr>
            <w:tcW w:w="1276" w:type="dxa"/>
          </w:tcPr>
          <w:p w:rsidR="00AF07DD" w:rsidRPr="00784C9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784C97">
              <w:rPr>
                <w:rFonts w:ascii="Arial" w:eastAsia="Arial" w:hAnsi="Arial" w:cs="Arial"/>
                <w:color w:val="000000" w:themeColor="text1"/>
                <w:sz w:val="22"/>
                <w:szCs w:val="22"/>
              </w:rPr>
              <w:lastRenderedPageBreak/>
              <w:t>4</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784C97">
              <w:rPr>
                <w:rFonts w:ascii="Arial" w:eastAsia="Arial" w:hAnsi="Arial" w:cs="Arial"/>
                <w:color w:val="000000" w:themeColor="text1"/>
                <w:sz w:val="22"/>
                <w:szCs w:val="22"/>
              </w:rPr>
              <w:lastRenderedPageBreak/>
              <w:t>C1</w:t>
            </w:r>
          </w:p>
        </w:tc>
      </w:tr>
      <w:tr w:rsidR="009A4814" w:rsidRPr="009A4814">
        <w:trPr>
          <w:trHeight w:val="758"/>
        </w:trPr>
        <w:tc>
          <w:tcPr>
            <w:tcW w:w="534" w:type="dxa"/>
          </w:tcPr>
          <w:p w:rsidR="00AF07DD" w:rsidRPr="00F92221" w:rsidRDefault="00FC6504" w:rsidP="00F92221">
            <w:pPr>
              <w:pBdr>
                <w:top w:val="nil"/>
                <w:left w:val="nil"/>
                <w:bottom w:val="nil"/>
                <w:right w:val="nil"/>
                <w:between w:val="nil"/>
              </w:pBdr>
              <w:rPr>
                <w:rFonts w:ascii="Arial" w:eastAsia="Arial" w:hAnsi="Arial" w:cs="Arial"/>
                <w:color w:val="000000" w:themeColor="text1"/>
                <w:sz w:val="22"/>
                <w:szCs w:val="22"/>
              </w:rPr>
            </w:pPr>
            <w:r w:rsidRPr="00F92221">
              <w:rPr>
                <w:rFonts w:ascii="Arial" w:eastAsia="Arial" w:hAnsi="Arial" w:cs="Arial"/>
                <w:color w:val="000000" w:themeColor="text1"/>
                <w:sz w:val="22"/>
                <w:szCs w:val="22"/>
              </w:rPr>
              <w:t xml:space="preserve">    </w:t>
            </w:r>
            <w:r w:rsidR="00F92221" w:rsidRPr="00F92221">
              <w:rPr>
                <w:rFonts w:ascii="Arial" w:eastAsia="Arial" w:hAnsi="Arial" w:cs="Arial"/>
                <w:color w:val="000000" w:themeColor="text1"/>
                <w:sz w:val="22"/>
                <w:szCs w:val="22"/>
              </w:rPr>
              <w:t>11.</w:t>
            </w:r>
          </w:p>
        </w:tc>
        <w:tc>
          <w:tcPr>
            <w:tcW w:w="2150" w:type="dxa"/>
          </w:tcPr>
          <w:p w:rsidR="00AF07DD" w:rsidRPr="003A7D6D" w:rsidRDefault="00A904FB">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2300-GPTE-M6-II-ME</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3A7D6D">
              <w:rPr>
                <w:rFonts w:ascii="Arial" w:eastAsia="Arial" w:hAnsi="Arial" w:cs="Arial"/>
                <w:b/>
                <w:color w:val="000000" w:themeColor="text1"/>
                <w:sz w:val="22"/>
                <w:szCs w:val="22"/>
                <w:highlight w:val="white"/>
              </w:rPr>
              <w:t>Music education</w:t>
            </w:r>
          </w:p>
          <w:p w:rsidR="00AF07D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3A7D6D">
              <w:rPr>
                <w:rFonts w:ascii="Arial" w:eastAsia="Arial" w:hAnsi="Arial" w:cs="Arial"/>
                <w:color w:val="000000" w:themeColor="text1"/>
                <w:sz w:val="22"/>
                <w:szCs w:val="22"/>
                <w:highlight w:val="white"/>
              </w:rPr>
              <w:t>mgr</w:t>
            </w:r>
            <w:proofErr w:type="spellEnd"/>
            <w:r w:rsidRPr="003A7D6D">
              <w:rPr>
                <w:rFonts w:ascii="Arial" w:eastAsia="Arial" w:hAnsi="Arial" w:cs="Arial"/>
                <w:color w:val="000000" w:themeColor="text1"/>
                <w:sz w:val="22"/>
                <w:szCs w:val="22"/>
                <w:highlight w:val="white"/>
              </w:rPr>
              <w:t xml:space="preserve"> Anna </w:t>
            </w:r>
            <w:proofErr w:type="spellStart"/>
            <w:r w:rsidRPr="003A7D6D">
              <w:rPr>
                <w:rFonts w:ascii="Arial" w:eastAsia="Arial" w:hAnsi="Arial" w:cs="Arial"/>
                <w:color w:val="000000" w:themeColor="text1"/>
                <w:sz w:val="22"/>
                <w:szCs w:val="22"/>
                <w:highlight w:val="white"/>
              </w:rPr>
              <w:t>Piskorek</w:t>
            </w:r>
            <w:proofErr w:type="spellEnd"/>
            <w:r w:rsidRPr="003A7D6D">
              <w:rPr>
                <w:rFonts w:ascii="Arial" w:eastAsia="Arial" w:hAnsi="Arial" w:cs="Arial"/>
                <w:color w:val="000000" w:themeColor="text1"/>
                <w:sz w:val="22"/>
                <w:szCs w:val="22"/>
                <w:highlight w:val="white"/>
              </w:rPr>
              <w:t>-Atys</w:t>
            </w:r>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9024F1" w:rsidRPr="009A4814" w:rsidRDefault="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tc>
        <w:tc>
          <w:tcPr>
            <w:tcW w:w="6310" w:type="dxa"/>
          </w:tcPr>
          <w:p w:rsidR="00AF07DD" w:rsidRPr="009A4814" w:rsidRDefault="006F727A">
            <w:pPr>
              <w:pBdr>
                <w:top w:val="nil"/>
                <w:left w:val="nil"/>
                <w:bottom w:val="nil"/>
                <w:right w:val="nil"/>
                <w:between w:val="nil"/>
              </w:pBdr>
              <w:spacing w:after="160"/>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4</w:t>
            </w:r>
          </w:p>
          <w:p w:rsidR="00AF07DD" w:rsidRPr="009A4814" w:rsidRDefault="00AF07D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C1</w:t>
            </w:r>
          </w:p>
        </w:tc>
      </w:tr>
      <w:tr w:rsidR="009A4814" w:rsidRPr="009A481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 xml:space="preserve">     12</w:t>
            </w:r>
            <w:r w:rsidR="006F727A" w:rsidRPr="00F92221">
              <w:rPr>
                <w:rFonts w:ascii="Arial" w:eastAsia="Arial" w:hAnsi="Arial" w:cs="Arial"/>
                <w:color w:val="000000" w:themeColor="text1"/>
                <w:sz w:val="22"/>
                <w:szCs w:val="22"/>
              </w:rPr>
              <w:t>.</w:t>
            </w:r>
          </w:p>
        </w:tc>
        <w:tc>
          <w:tcPr>
            <w:tcW w:w="2150" w:type="dxa"/>
          </w:tcPr>
          <w:p w:rsidR="00AF07DD" w:rsidRPr="009A4814" w:rsidRDefault="00B4001E">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 xml:space="preserve">2300-GPTE-M6-II-SE </w:t>
            </w:r>
          </w:p>
        </w:tc>
        <w:tc>
          <w:tcPr>
            <w:tcW w:w="3475"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3A7D6D">
              <w:rPr>
                <w:rFonts w:ascii="Arial" w:eastAsia="Arial" w:hAnsi="Arial" w:cs="Arial"/>
                <w:b/>
                <w:color w:val="000000" w:themeColor="text1"/>
                <w:sz w:val="22"/>
                <w:szCs w:val="22"/>
                <w:highlight w:val="white"/>
              </w:rPr>
              <w:t>Science education</w:t>
            </w:r>
          </w:p>
          <w:p w:rsidR="00AF07D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3A7D6D">
              <w:rPr>
                <w:rFonts w:ascii="Arial" w:eastAsia="Arial" w:hAnsi="Arial" w:cs="Arial"/>
                <w:color w:val="000000" w:themeColor="text1"/>
                <w:sz w:val="22"/>
                <w:szCs w:val="22"/>
                <w:highlight w:val="white"/>
              </w:rPr>
              <w:t>mgr</w:t>
            </w:r>
            <w:proofErr w:type="spellEnd"/>
            <w:r w:rsidRPr="003A7D6D">
              <w:rPr>
                <w:rFonts w:ascii="Arial" w:eastAsia="Arial" w:hAnsi="Arial" w:cs="Arial"/>
                <w:color w:val="000000" w:themeColor="text1"/>
                <w:sz w:val="22"/>
                <w:szCs w:val="22"/>
                <w:highlight w:val="white"/>
              </w:rPr>
              <w:t xml:space="preserve"> </w:t>
            </w:r>
            <w:proofErr w:type="spellStart"/>
            <w:r w:rsidRPr="003A7D6D">
              <w:rPr>
                <w:rFonts w:ascii="Arial" w:eastAsia="Arial" w:hAnsi="Arial" w:cs="Arial"/>
                <w:color w:val="000000" w:themeColor="text1"/>
                <w:sz w:val="22"/>
                <w:szCs w:val="22"/>
                <w:highlight w:val="white"/>
              </w:rPr>
              <w:t>Kalina</w:t>
            </w:r>
            <w:proofErr w:type="spellEnd"/>
            <w:r w:rsidRPr="003A7D6D">
              <w:rPr>
                <w:rFonts w:ascii="Arial" w:eastAsia="Arial" w:hAnsi="Arial" w:cs="Arial"/>
                <w:color w:val="000000" w:themeColor="text1"/>
                <w:sz w:val="22"/>
                <w:szCs w:val="22"/>
                <w:highlight w:val="white"/>
              </w:rPr>
              <w:t xml:space="preserve"> </w:t>
            </w:r>
            <w:proofErr w:type="spellStart"/>
            <w:r w:rsidRPr="003A7D6D">
              <w:rPr>
                <w:rFonts w:ascii="Arial" w:eastAsia="Arial" w:hAnsi="Arial" w:cs="Arial"/>
                <w:color w:val="000000" w:themeColor="text1"/>
                <w:sz w:val="22"/>
                <w:szCs w:val="22"/>
                <w:highlight w:val="white"/>
              </w:rPr>
              <w:t>Jastrzębowska</w:t>
            </w:r>
            <w:proofErr w:type="spellEnd"/>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9024F1" w:rsidRPr="009A4814" w:rsidRDefault="009024F1" w:rsidP="009024F1">
            <w:pPr>
              <w:pBdr>
                <w:top w:val="nil"/>
                <w:left w:val="nil"/>
                <w:bottom w:val="nil"/>
                <w:right w:val="nil"/>
                <w:between w:val="nil"/>
              </w:pBdr>
              <w:spacing w:after="160" w:line="259" w:lineRule="auto"/>
              <w:rPr>
                <w:rFonts w:ascii="Arial" w:eastAsia="Arial" w:hAnsi="Arial" w:cs="Arial"/>
                <w:color w:val="92CDDC" w:themeColor="accent5" w:themeTint="99"/>
                <w:sz w:val="22"/>
                <w:szCs w:val="22"/>
                <w:highlight w:val="white"/>
              </w:rPr>
            </w:pPr>
          </w:p>
        </w:tc>
        <w:tc>
          <w:tcPr>
            <w:tcW w:w="6310" w:type="dxa"/>
          </w:tcPr>
          <w:p w:rsidR="00AF07DD" w:rsidRPr="009A4814" w:rsidRDefault="006F727A">
            <w:pPr>
              <w:pBdr>
                <w:top w:val="nil"/>
                <w:left w:val="nil"/>
                <w:bottom w:val="nil"/>
                <w:right w:val="nil"/>
                <w:between w:val="nil"/>
              </w:pBdr>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protocol, new trends in science education: art &amp; science, STEAM, RRI, etc..</w:t>
            </w:r>
          </w:p>
        </w:tc>
        <w:tc>
          <w:tcPr>
            <w:tcW w:w="1276" w:type="dxa"/>
          </w:tcPr>
          <w:p w:rsidR="00AF07DD" w:rsidRPr="003A7D6D"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3A7D6D">
              <w:rPr>
                <w:rFonts w:ascii="Arial" w:eastAsia="Arial" w:hAnsi="Arial" w:cs="Arial"/>
                <w:color w:val="000000" w:themeColor="text1"/>
                <w:sz w:val="22"/>
                <w:szCs w:val="22"/>
              </w:rPr>
              <w:t>4</w:t>
            </w:r>
          </w:p>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A4814">
              <w:rPr>
                <w:rFonts w:ascii="Arial" w:eastAsia="Arial" w:hAnsi="Arial" w:cs="Arial"/>
                <w:color w:val="92CDDC" w:themeColor="accent5" w:themeTint="99"/>
                <w:sz w:val="22"/>
                <w:szCs w:val="22"/>
              </w:rPr>
              <w:t xml:space="preserve"> </w:t>
            </w:r>
          </w:p>
        </w:tc>
        <w:tc>
          <w:tcPr>
            <w:tcW w:w="1560" w:type="dxa"/>
          </w:tcPr>
          <w:p w:rsidR="00AF07DD" w:rsidRPr="009A4814" w:rsidRDefault="006F727A">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3A7D6D">
              <w:rPr>
                <w:rFonts w:ascii="Arial" w:eastAsia="Arial" w:hAnsi="Arial" w:cs="Arial"/>
                <w:color w:val="000000" w:themeColor="text1"/>
                <w:sz w:val="22"/>
                <w:szCs w:val="22"/>
              </w:rPr>
              <w:t>B2</w:t>
            </w:r>
          </w:p>
        </w:tc>
      </w:tr>
      <w:tr w:rsidR="009A4814" w:rsidRPr="009A481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13</w:t>
            </w:r>
            <w:r w:rsidR="006F727A" w:rsidRPr="00F92221">
              <w:rPr>
                <w:rFonts w:ascii="Arial" w:eastAsia="Arial" w:hAnsi="Arial" w:cs="Arial"/>
                <w:color w:val="000000" w:themeColor="text1"/>
                <w:sz w:val="22"/>
                <w:szCs w:val="22"/>
              </w:rPr>
              <w:t>.</w:t>
            </w:r>
          </w:p>
        </w:tc>
        <w:tc>
          <w:tcPr>
            <w:tcW w:w="2150" w:type="dxa"/>
          </w:tcPr>
          <w:p w:rsidR="00AF07DD" w:rsidRPr="009A4814" w:rsidRDefault="00AF668D">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965D27">
              <w:rPr>
                <w:rFonts w:ascii="Arial" w:eastAsia="Arial" w:hAnsi="Arial" w:cs="Arial"/>
                <w:color w:val="000000" w:themeColor="text1"/>
                <w:sz w:val="22"/>
                <w:szCs w:val="22"/>
              </w:rPr>
              <w:t xml:space="preserve">2300-GPTE-M6-II-PHE </w:t>
            </w:r>
          </w:p>
        </w:tc>
        <w:tc>
          <w:tcPr>
            <w:tcW w:w="3475"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965D27">
              <w:rPr>
                <w:rFonts w:ascii="Arial" w:eastAsia="Arial" w:hAnsi="Arial" w:cs="Arial"/>
                <w:b/>
                <w:color w:val="000000" w:themeColor="text1"/>
                <w:sz w:val="22"/>
                <w:szCs w:val="22"/>
                <w:highlight w:val="white"/>
              </w:rPr>
              <w:t>Physical and health education</w:t>
            </w:r>
          </w:p>
          <w:p w:rsidR="00AF07DD"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roofErr w:type="spellStart"/>
            <w:r w:rsidRPr="00965D27">
              <w:rPr>
                <w:rFonts w:ascii="Arial" w:eastAsia="Arial" w:hAnsi="Arial" w:cs="Arial"/>
                <w:color w:val="000000" w:themeColor="text1"/>
                <w:sz w:val="22"/>
                <w:szCs w:val="22"/>
                <w:highlight w:val="white"/>
              </w:rPr>
              <w:t>mgr</w:t>
            </w:r>
            <w:proofErr w:type="spellEnd"/>
            <w:r w:rsidRPr="00965D27">
              <w:rPr>
                <w:rFonts w:ascii="Arial" w:eastAsia="Arial" w:hAnsi="Arial" w:cs="Arial"/>
                <w:color w:val="000000" w:themeColor="text1"/>
                <w:sz w:val="22"/>
                <w:szCs w:val="22"/>
                <w:highlight w:val="white"/>
              </w:rPr>
              <w:t xml:space="preserve"> </w:t>
            </w:r>
            <w:proofErr w:type="spellStart"/>
            <w:r w:rsidRPr="00965D27">
              <w:rPr>
                <w:rFonts w:ascii="Arial" w:eastAsia="Arial" w:hAnsi="Arial" w:cs="Arial"/>
                <w:color w:val="000000" w:themeColor="text1"/>
                <w:sz w:val="22"/>
                <w:szCs w:val="22"/>
                <w:highlight w:val="white"/>
              </w:rPr>
              <w:t>Sławomir</w:t>
            </w:r>
            <w:proofErr w:type="spellEnd"/>
            <w:r w:rsidRPr="00965D27">
              <w:rPr>
                <w:rFonts w:ascii="Arial" w:eastAsia="Arial" w:hAnsi="Arial" w:cs="Arial"/>
                <w:color w:val="000000" w:themeColor="text1"/>
                <w:sz w:val="22"/>
                <w:szCs w:val="22"/>
                <w:highlight w:val="white"/>
              </w:rPr>
              <w:t xml:space="preserve"> </w:t>
            </w:r>
            <w:proofErr w:type="spellStart"/>
            <w:r w:rsidRPr="00965D27">
              <w:rPr>
                <w:rFonts w:ascii="Arial" w:eastAsia="Arial" w:hAnsi="Arial" w:cs="Arial"/>
                <w:color w:val="000000" w:themeColor="text1"/>
                <w:sz w:val="22"/>
                <w:szCs w:val="22"/>
                <w:highlight w:val="white"/>
              </w:rPr>
              <w:t>Konopka</w:t>
            </w:r>
            <w:proofErr w:type="spellEnd"/>
          </w:p>
          <w:p w:rsidR="009024F1" w:rsidRDefault="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p w:rsidR="00AF07DD" w:rsidRPr="00965D27" w:rsidRDefault="00AF07DD" w:rsidP="009024F1">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p>
        </w:tc>
        <w:tc>
          <w:tcPr>
            <w:tcW w:w="6310" w:type="dxa"/>
          </w:tcPr>
          <w:p w:rsidR="00AF07DD" w:rsidRPr="00965D27" w:rsidRDefault="006F727A">
            <w:pPr>
              <w:pBdr>
                <w:top w:val="nil"/>
                <w:left w:val="nil"/>
                <w:bottom w:val="nil"/>
                <w:right w:val="nil"/>
                <w:between w:val="nil"/>
              </w:pBdr>
              <w:jc w:val="both"/>
              <w:rPr>
                <w:rFonts w:ascii="Arial" w:eastAsia="Arial" w:hAnsi="Arial" w:cs="Arial"/>
                <w:color w:val="000000" w:themeColor="text1"/>
                <w:sz w:val="22"/>
                <w:szCs w:val="22"/>
              </w:rPr>
            </w:pPr>
            <w:r w:rsidRPr="00965D27">
              <w:rPr>
                <w:rFonts w:ascii="Arial" w:eastAsia="Arial" w:hAnsi="Arial" w:cs="Arial"/>
                <w:color w:val="000000" w:themeColor="text1"/>
                <w:sz w:val="22"/>
                <w:szCs w:val="22"/>
              </w:rPr>
              <w:lastRenderedPageBreak/>
              <w:t xml:space="preserve">Physical education is a part of the total educational program that contributes, mainly through movement exercises, to the total growth and development of all children. </w:t>
            </w:r>
            <w:r w:rsidRPr="00965D27">
              <w:rPr>
                <w:rFonts w:ascii="Arial" w:eastAsia="Arial" w:hAnsi="Arial" w:cs="Arial"/>
                <w:color w:val="000000" w:themeColor="text1"/>
                <w:sz w:val="22"/>
                <w:szCs w:val="22"/>
                <w:highlight w:val="white"/>
              </w:rPr>
              <w:t xml:space="preserve">Students will become familiar with organizing and presenting health and physical education content, materials, curricula, community resources, using technology, and communicating about healthy </w:t>
            </w:r>
            <w:r w:rsidRPr="00965D27">
              <w:rPr>
                <w:rFonts w:ascii="Arial" w:eastAsia="Arial" w:hAnsi="Arial" w:cs="Arial"/>
                <w:color w:val="000000" w:themeColor="text1"/>
                <w:sz w:val="22"/>
                <w:szCs w:val="22"/>
                <w:highlight w:val="white"/>
              </w:rPr>
              <w:lastRenderedPageBreak/>
              <w:t>lifestyles.</w:t>
            </w:r>
            <w:r w:rsidRPr="00965D27">
              <w:rPr>
                <w:rFonts w:ascii="Arial" w:eastAsia="Arial" w:hAnsi="Arial" w:cs="Arial"/>
                <w:color w:val="000000" w:themeColor="text1"/>
                <w:sz w:val="22"/>
                <w:szCs w:val="22"/>
              </w:rPr>
              <w:t xml:space="preserve"> The main aim of the course is to learn and use major concepts of health education, human movement and physical activity as central elements to foster active healthy lifestyles. </w:t>
            </w:r>
          </w:p>
          <w:p w:rsidR="00AF07DD" w:rsidRPr="00965D27" w:rsidRDefault="00AF07DD">
            <w:pPr>
              <w:pBdr>
                <w:top w:val="nil"/>
                <w:left w:val="nil"/>
                <w:bottom w:val="nil"/>
                <w:right w:val="nil"/>
                <w:between w:val="nil"/>
              </w:pBdr>
              <w:rPr>
                <w:rFonts w:ascii="Arial" w:eastAsia="Arial" w:hAnsi="Arial" w:cs="Arial"/>
                <w:color w:val="000000" w:themeColor="text1"/>
                <w:sz w:val="22"/>
                <w:szCs w:val="22"/>
              </w:rPr>
            </w:pPr>
          </w:p>
        </w:tc>
        <w:tc>
          <w:tcPr>
            <w:tcW w:w="1276"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lastRenderedPageBreak/>
              <w:t>4</w:t>
            </w:r>
          </w:p>
        </w:tc>
        <w:tc>
          <w:tcPr>
            <w:tcW w:w="1560" w:type="dxa"/>
          </w:tcPr>
          <w:p w:rsidR="00AF07DD" w:rsidRPr="00965D27"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965D27">
              <w:rPr>
                <w:rFonts w:ascii="Arial" w:eastAsia="Arial" w:hAnsi="Arial" w:cs="Arial"/>
                <w:color w:val="000000" w:themeColor="text1"/>
                <w:sz w:val="22"/>
                <w:szCs w:val="22"/>
              </w:rPr>
              <w:t>C 1</w:t>
            </w:r>
          </w:p>
        </w:tc>
      </w:tr>
      <w:tr w:rsidR="00FF3BA4" w:rsidRPr="009A4814">
        <w:trPr>
          <w:trHeight w:val="758"/>
        </w:trPr>
        <w:tc>
          <w:tcPr>
            <w:tcW w:w="534" w:type="dxa"/>
          </w:tcPr>
          <w:p w:rsidR="00FF3BA4" w:rsidRPr="00F92221" w:rsidRDefault="00FF3BA4" w:rsidP="00FF3BA4">
            <w:pPr>
              <w:numPr>
                <w:ilvl w:val="0"/>
                <w:numId w:val="1"/>
              </w:numPr>
              <w:pBdr>
                <w:top w:val="nil"/>
                <w:left w:val="nil"/>
                <w:bottom w:val="nil"/>
                <w:right w:val="nil"/>
                <w:between w:val="nil"/>
              </w:pBdr>
              <w:rPr>
                <w:rFonts w:ascii="Arial" w:eastAsia="Arial" w:hAnsi="Arial" w:cs="Arial"/>
                <w:color w:val="000000" w:themeColor="text1"/>
                <w:sz w:val="22"/>
                <w:szCs w:val="22"/>
              </w:rPr>
            </w:pPr>
            <w:r w:rsidRPr="00F92221">
              <w:rPr>
                <w:rFonts w:ascii="Arial" w:eastAsia="Arial" w:hAnsi="Arial" w:cs="Arial"/>
                <w:color w:val="000000" w:themeColor="text1"/>
                <w:sz w:val="22"/>
                <w:szCs w:val="22"/>
              </w:rPr>
              <w:t>1</w:t>
            </w:r>
          </w:p>
          <w:p w:rsidR="00FF3BA4" w:rsidRPr="00F92221"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F92221">
              <w:rPr>
                <w:rFonts w:ascii="Arial" w:eastAsia="Arial" w:hAnsi="Arial" w:cs="Arial"/>
                <w:color w:val="000000" w:themeColor="text1"/>
                <w:sz w:val="22"/>
                <w:szCs w:val="22"/>
              </w:rPr>
              <w:t>1</w:t>
            </w:r>
            <w:r w:rsidR="00F92221">
              <w:rPr>
                <w:rFonts w:ascii="Arial" w:eastAsia="Arial" w:hAnsi="Arial" w:cs="Arial"/>
                <w:color w:val="000000" w:themeColor="text1"/>
                <w:sz w:val="22"/>
                <w:szCs w:val="22"/>
              </w:rPr>
              <w:t>4</w:t>
            </w:r>
            <w:r w:rsidRPr="00F92221">
              <w:rPr>
                <w:rFonts w:ascii="Arial" w:eastAsia="Arial" w:hAnsi="Arial" w:cs="Arial"/>
                <w:color w:val="000000" w:themeColor="text1"/>
                <w:sz w:val="22"/>
                <w:szCs w:val="22"/>
              </w:rPr>
              <w:t>.</w:t>
            </w:r>
          </w:p>
        </w:tc>
        <w:tc>
          <w:tcPr>
            <w:tcW w:w="2150" w:type="dxa"/>
          </w:tcPr>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1817D0">
              <w:rPr>
                <w:rFonts w:ascii="Arial" w:eastAsia="Arial" w:hAnsi="Arial" w:cs="Arial"/>
                <w:color w:val="000000" w:themeColor="text1"/>
                <w:sz w:val="22"/>
                <w:szCs w:val="22"/>
              </w:rPr>
              <w:t>2300-KJO-43/HUP</w:t>
            </w:r>
          </w:p>
          <w:p w:rsidR="00FF3BA4" w:rsidRPr="009A4814" w:rsidRDefault="00FF3BA4" w:rsidP="00FF3BA4">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p>
        </w:tc>
        <w:tc>
          <w:tcPr>
            <w:tcW w:w="3475" w:type="dxa"/>
          </w:tcPr>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1817D0">
              <w:rPr>
                <w:rFonts w:ascii="Arial" w:eastAsia="Arial" w:hAnsi="Arial" w:cs="Arial"/>
                <w:b/>
                <w:color w:val="000000" w:themeColor="text1"/>
                <w:sz w:val="22"/>
                <w:szCs w:val="22"/>
              </w:rPr>
              <w:t>How to use psychology to improve efficiency at work in educational environment?</w:t>
            </w:r>
          </w:p>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proofErr w:type="spellStart"/>
            <w:r w:rsidRPr="001817D0">
              <w:rPr>
                <w:rFonts w:ascii="Arial" w:eastAsia="Arial" w:hAnsi="Arial" w:cs="Arial"/>
                <w:color w:val="000000" w:themeColor="text1"/>
                <w:sz w:val="22"/>
                <w:szCs w:val="22"/>
              </w:rPr>
              <w:t>dr</w:t>
            </w:r>
            <w:proofErr w:type="spellEnd"/>
            <w:r w:rsidRPr="001817D0">
              <w:rPr>
                <w:rFonts w:ascii="Arial" w:eastAsia="Arial" w:hAnsi="Arial" w:cs="Arial"/>
                <w:color w:val="000000" w:themeColor="text1"/>
                <w:sz w:val="22"/>
                <w:szCs w:val="22"/>
              </w:rPr>
              <w:t xml:space="preserve"> Marek </w:t>
            </w:r>
            <w:proofErr w:type="spellStart"/>
            <w:r w:rsidRPr="001817D0">
              <w:rPr>
                <w:rFonts w:ascii="Arial" w:eastAsia="Arial" w:hAnsi="Arial" w:cs="Arial"/>
                <w:color w:val="000000" w:themeColor="text1"/>
                <w:sz w:val="22"/>
                <w:szCs w:val="22"/>
              </w:rPr>
              <w:t>Smulczyk</w:t>
            </w:r>
            <w:proofErr w:type="spellEnd"/>
          </w:p>
        </w:tc>
        <w:tc>
          <w:tcPr>
            <w:tcW w:w="6310" w:type="dxa"/>
          </w:tcPr>
          <w:p w:rsidR="00FF3BA4" w:rsidRPr="001817D0" w:rsidRDefault="00FF3BA4" w:rsidP="00FF3BA4">
            <w:pPr>
              <w:pBdr>
                <w:top w:val="nil"/>
                <w:left w:val="nil"/>
                <w:bottom w:val="nil"/>
                <w:right w:val="nil"/>
                <w:between w:val="nil"/>
              </w:pBdr>
              <w:spacing w:after="160"/>
              <w:rPr>
                <w:rFonts w:ascii="Arial" w:eastAsia="Arial" w:hAnsi="Arial" w:cs="Arial"/>
                <w:color w:val="000000" w:themeColor="text1"/>
                <w:sz w:val="22"/>
                <w:szCs w:val="22"/>
              </w:rPr>
            </w:pPr>
            <w:r w:rsidRPr="001817D0">
              <w:rPr>
                <w:rFonts w:ascii="Arial" w:eastAsia="Arial" w:hAnsi="Arial" w:cs="Arial"/>
                <w:color w:val="000000" w:themeColor="text1"/>
                <w:sz w:val="22"/>
                <w:szCs w:val="22"/>
              </w:rPr>
              <w:t xml:space="preserve">The goal of the course is to implement </w:t>
            </w:r>
            <w:proofErr w:type="spellStart"/>
            <w:r w:rsidRPr="001817D0">
              <w:rPr>
                <w:rFonts w:ascii="Arial" w:eastAsia="Arial" w:hAnsi="Arial" w:cs="Arial"/>
                <w:color w:val="000000" w:themeColor="text1"/>
                <w:sz w:val="22"/>
                <w:szCs w:val="22"/>
              </w:rPr>
              <w:t>konwledge</w:t>
            </w:r>
            <w:proofErr w:type="spellEnd"/>
            <w:r w:rsidRPr="001817D0">
              <w:rPr>
                <w:rFonts w:ascii="Arial" w:eastAsia="Arial" w:hAnsi="Arial" w:cs="Arial"/>
                <w:color w:val="000000" w:themeColor="text1"/>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1817D0">
              <w:rPr>
                <w:rFonts w:ascii="Arial" w:eastAsia="Arial" w:hAnsi="Arial" w:cs="Arial"/>
                <w:color w:val="000000" w:themeColor="text1"/>
                <w:sz w:val="22"/>
                <w:szCs w:val="22"/>
              </w:rPr>
              <w:t>4</w:t>
            </w:r>
          </w:p>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p>
        </w:tc>
        <w:tc>
          <w:tcPr>
            <w:tcW w:w="1560" w:type="dxa"/>
          </w:tcPr>
          <w:p w:rsidR="00FF3BA4" w:rsidRPr="001817D0"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1817D0">
              <w:rPr>
                <w:rFonts w:ascii="Arial" w:eastAsia="Arial" w:hAnsi="Arial" w:cs="Arial"/>
                <w:color w:val="000000" w:themeColor="text1"/>
                <w:sz w:val="22"/>
                <w:szCs w:val="22"/>
              </w:rPr>
              <w:t>B2</w:t>
            </w:r>
          </w:p>
        </w:tc>
      </w:tr>
      <w:tr w:rsidR="009A4814" w:rsidRPr="009A481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15</w:t>
            </w:r>
            <w:r w:rsidR="006F727A" w:rsidRPr="00F92221">
              <w:rPr>
                <w:rFonts w:ascii="Arial" w:eastAsia="Arial" w:hAnsi="Arial" w:cs="Arial"/>
                <w:color w:val="000000" w:themeColor="text1"/>
                <w:sz w:val="22"/>
                <w:szCs w:val="22"/>
              </w:rPr>
              <w:t xml:space="preserve">. </w:t>
            </w:r>
          </w:p>
        </w:tc>
        <w:tc>
          <w:tcPr>
            <w:tcW w:w="2150"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2300-KJO-38/EL</w:t>
            </w:r>
          </w:p>
        </w:tc>
        <w:tc>
          <w:tcPr>
            <w:tcW w:w="3475"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rPr>
            </w:pPr>
            <w:r w:rsidRPr="00FF3BA4">
              <w:rPr>
                <w:rFonts w:ascii="Arial" w:eastAsia="Arial" w:hAnsi="Arial" w:cs="Arial"/>
                <w:b/>
                <w:color w:val="000000" w:themeColor="text1"/>
                <w:sz w:val="22"/>
                <w:szCs w:val="22"/>
                <w:highlight w:val="white"/>
              </w:rPr>
              <w:t>Educational leadership</w:t>
            </w:r>
          </w:p>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highlight w:val="white"/>
                <w:lang w:val="pl-PL"/>
              </w:rPr>
            </w:pPr>
            <w:r w:rsidRPr="00FF3BA4">
              <w:rPr>
                <w:rFonts w:ascii="Arial" w:eastAsia="Arial" w:hAnsi="Arial" w:cs="Arial"/>
                <w:color w:val="000000" w:themeColor="text1"/>
                <w:sz w:val="22"/>
                <w:szCs w:val="22"/>
                <w:highlight w:val="white"/>
              </w:rPr>
              <w:t xml:space="preserve">prof. </w:t>
            </w:r>
            <w:proofErr w:type="spellStart"/>
            <w:r w:rsidRPr="00FF3BA4">
              <w:rPr>
                <w:rFonts w:ascii="Arial" w:eastAsia="Arial" w:hAnsi="Arial" w:cs="Arial"/>
                <w:color w:val="000000" w:themeColor="text1"/>
                <w:sz w:val="22"/>
                <w:szCs w:val="22"/>
                <w:highlight w:val="white"/>
              </w:rPr>
              <w:t>dr</w:t>
            </w:r>
            <w:proofErr w:type="spellEnd"/>
            <w:r w:rsidRPr="00FF3BA4">
              <w:rPr>
                <w:rFonts w:ascii="Arial" w:eastAsia="Arial" w:hAnsi="Arial" w:cs="Arial"/>
                <w:color w:val="000000" w:themeColor="text1"/>
                <w:sz w:val="22"/>
                <w:szCs w:val="22"/>
                <w:highlight w:val="white"/>
              </w:rPr>
              <w:t xml:space="preserve"> hab. </w:t>
            </w:r>
            <w:r w:rsidRPr="00FF3BA4">
              <w:rPr>
                <w:rFonts w:ascii="Arial" w:eastAsia="Arial" w:hAnsi="Arial" w:cs="Arial"/>
                <w:color w:val="000000" w:themeColor="text1"/>
                <w:sz w:val="22"/>
                <w:szCs w:val="22"/>
                <w:highlight w:val="white"/>
                <w:lang w:val="pl-PL"/>
              </w:rPr>
              <w:t>Joanna Madalińska-Michalak</w:t>
            </w:r>
          </w:p>
          <w:p w:rsidR="00BC0237" w:rsidRPr="00FF3BA4" w:rsidRDefault="00BC0237">
            <w:pPr>
              <w:pBdr>
                <w:top w:val="nil"/>
                <w:left w:val="nil"/>
                <w:bottom w:val="nil"/>
                <w:right w:val="nil"/>
                <w:between w:val="nil"/>
              </w:pBdr>
              <w:spacing w:after="160" w:line="259" w:lineRule="auto"/>
              <w:rPr>
                <w:rFonts w:ascii="Arial" w:eastAsia="Arial" w:hAnsi="Arial" w:cs="Arial"/>
                <w:color w:val="000000" w:themeColor="text1"/>
                <w:sz w:val="22"/>
                <w:szCs w:val="22"/>
                <w:highlight w:val="white"/>
                <w:lang w:val="pl-PL"/>
              </w:rPr>
            </w:pPr>
          </w:p>
        </w:tc>
        <w:tc>
          <w:tcPr>
            <w:tcW w:w="6310" w:type="dxa"/>
          </w:tcPr>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The subject „Educational Leadership” focuses on the issue of educational leadership in the context of its contemporary challenges. Particular attention will be paid to the following topics: 1. Leader and Managers - leading and managing</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2.Theories of leadership: Implications for educational</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leadership</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3. The importance of educational leadership in      </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contemporary times</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4. School leadership – towards innovative approaches</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and key actions to strengthen school leadership</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5. School leadership: Creating a change</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6. Building and Sustaining Success in Leadership: </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International Respective</w:t>
            </w:r>
          </w:p>
          <w:p w:rsidR="00AF07DD" w:rsidRPr="00FF3BA4" w:rsidRDefault="006F727A">
            <w:pPr>
              <w:pBdr>
                <w:top w:val="nil"/>
                <w:left w:val="nil"/>
                <w:bottom w:val="nil"/>
                <w:right w:val="nil"/>
                <w:between w:val="nil"/>
              </w:pBdr>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The classes will allow students for their active involvement in the analysis of the topics covered in the lecture, for raising the issues of their interest and leading the discussions about the most important current issues relating to educational leadership, both from the point of view of the theory and practice. The </w:t>
            </w:r>
            <w:proofErr w:type="spellStart"/>
            <w:r w:rsidRPr="00FF3BA4">
              <w:rPr>
                <w:rFonts w:ascii="Arial" w:eastAsia="Arial" w:hAnsi="Arial" w:cs="Arial"/>
                <w:color w:val="000000" w:themeColor="text1"/>
                <w:sz w:val="22"/>
                <w:szCs w:val="22"/>
              </w:rPr>
              <w:t>classe</w:t>
            </w:r>
            <w:proofErr w:type="spellEnd"/>
            <w:r w:rsidRPr="00FF3BA4">
              <w:rPr>
                <w:rFonts w:ascii="Arial" w:eastAsia="Arial" w:hAnsi="Arial" w:cs="Arial"/>
                <w:color w:val="000000" w:themeColor="text1"/>
                <w:sz w:val="22"/>
                <w:szCs w:val="22"/>
              </w:rPr>
              <w:t xml:space="preserve"> will create the conditions for developing students' leadership competences.</w:t>
            </w:r>
          </w:p>
        </w:tc>
        <w:tc>
          <w:tcPr>
            <w:tcW w:w="1276"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 xml:space="preserve"> 4</w:t>
            </w:r>
          </w:p>
          <w:p w:rsidR="00AF07DD" w:rsidRPr="00FF3BA4" w:rsidRDefault="00AF07DD">
            <w:pPr>
              <w:pBdr>
                <w:top w:val="nil"/>
                <w:left w:val="nil"/>
                <w:bottom w:val="nil"/>
                <w:right w:val="nil"/>
                <w:between w:val="nil"/>
              </w:pBdr>
              <w:spacing w:after="160" w:line="259" w:lineRule="auto"/>
              <w:rPr>
                <w:rFonts w:ascii="Arial" w:eastAsia="Arial" w:hAnsi="Arial" w:cs="Arial"/>
                <w:color w:val="000000" w:themeColor="text1"/>
                <w:sz w:val="22"/>
                <w:szCs w:val="22"/>
              </w:rPr>
            </w:pPr>
          </w:p>
        </w:tc>
        <w:tc>
          <w:tcPr>
            <w:tcW w:w="1560"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B2</w:t>
            </w:r>
          </w:p>
        </w:tc>
      </w:tr>
      <w:tr w:rsidR="009A4814" w:rsidRPr="00FF3BA4">
        <w:trPr>
          <w:trHeight w:val="758"/>
        </w:trPr>
        <w:tc>
          <w:tcPr>
            <w:tcW w:w="534" w:type="dxa"/>
          </w:tcPr>
          <w:p w:rsidR="00AF07DD"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16</w:t>
            </w:r>
            <w:r w:rsidR="006F727A" w:rsidRPr="00F92221">
              <w:rPr>
                <w:rFonts w:ascii="Arial" w:eastAsia="Arial" w:hAnsi="Arial" w:cs="Arial"/>
                <w:color w:val="000000" w:themeColor="text1"/>
                <w:sz w:val="22"/>
                <w:szCs w:val="22"/>
              </w:rPr>
              <w:t>.</w:t>
            </w:r>
          </w:p>
        </w:tc>
        <w:tc>
          <w:tcPr>
            <w:tcW w:w="2150" w:type="dxa"/>
          </w:tcPr>
          <w:p w:rsidR="00AF07DD"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2300-J-DWNJA-PT</w:t>
            </w:r>
          </w:p>
        </w:tc>
        <w:tc>
          <w:tcPr>
            <w:tcW w:w="3475" w:type="dxa"/>
          </w:tcPr>
          <w:p w:rsidR="006B6B04" w:rsidRDefault="00DB6E68" w:rsidP="00FF3BA4">
            <w:pPr>
              <w:pBdr>
                <w:top w:val="nil"/>
                <w:left w:val="nil"/>
                <w:bottom w:val="nil"/>
                <w:right w:val="nil"/>
                <w:between w:val="nil"/>
              </w:pBdr>
              <w:spacing w:after="160" w:line="259" w:lineRule="auto"/>
              <w:rPr>
                <w:rFonts w:ascii="Arial" w:eastAsia="Arial" w:hAnsi="Arial" w:cs="Arial"/>
                <w:b/>
                <w:color w:val="000000" w:themeColor="text1"/>
                <w:sz w:val="22"/>
                <w:szCs w:val="22"/>
                <w:highlight w:val="white"/>
                <w:lang w:val="pl-PL"/>
              </w:rPr>
            </w:pPr>
            <w:proofErr w:type="spellStart"/>
            <w:r w:rsidRPr="00DB6E68">
              <w:rPr>
                <w:rFonts w:ascii="Arial" w:hAnsi="Arial" w:cs="Arial"/>
                <w:b/>
                <w:sz w:val="22"/>
                <w:szCs w:val="22"/>
                <w:lang w:val="pl-PL"/>
              </w:rPr>
              <w:t>Children's</w:t>
            </w:r>
            <w:proofErr w:type="spellEnd"/>
            <w:r w:rsidRPr="00DB6E68">
              <w:rPr>
                <w:rFonts w:ascii="Arial" w:hAnsi="Arial" w:cs="Arial"/>
                <w:b/>
                <w:sz w:val="22"/>
                <w:szCs w:val="22"/>
                <w:lang w:val="pl-PL"/>
              </w:rPr>
              <w:t xml:space="preserve"> FL </w:t>
            </w:r>
            <w:proofErr w:type="spellStart"/>
            <w:r w:rsidRPr="00DB6E68">
              <w:rPr>
                <w:rFonts w:ascii="Arial" w:hAnsi="Arial" w:cs="Arial"/>
                <w:b/>
                <w:sz w:val="22"/>
                <w:szCs w:val="22"/>
                <w:lang w:val="pl-PL"/>
              </w:rPr>
              <w:t>literacy</w:t>
            </w:r>
            <w:proofErr w:type="spellEnd"/>
            <w:r w:rsidRPr="00DB6E68">
              <w:rPr>
                <w:rFonts w:ascii="Arial" w:hAnsi="Arial" w:cs="Arial"/>
                <w:b/>
                <w:sz w:val="22"/>
                <w:szCs w:val="22"/>
                <w:lang w:val="pl-PL"/>
              </w:rPr>
              <w:t xml:space="preserve"> development</w:t>
            </w:r>
            <w:r w:rsidR="00FF3BA4" w:rsidRPr="00FF3BA4">
              <w:rPr>
                <w:rFonts w:ascii="Arial" w:eastAsia="Arial" w:hAnsi="Arial" w:cs="Arial"/>
                <w:b/>
                <w:color w:val="000000" w:themeColor="text1"/>
                <w:sz w:val="22"/>
                <w:szCs w:val="22"/>
                <w:highlight w:val="white"/>
                <w:lang w:val="pl-PL"/>
              </w:rPr>
              <w:t>/ Praca z tekstem jako źród</w:t>
            </w:r>
            <w:r w:rsidR="00FF3BA4">
              <w:rPr>
                <w:rFonts w:ascii="Arial" w:eastAsia="Arial" w:hAnsi="Arial" w:cs="Arial"/>
                <w:b/>
                <w:color w:val="000000" w:themeColor="text1"/>
                <w:sz w:val="22"/>
                <w:szCs w:val="22"/>
                <w:highlight w:val="white"/>
                <w:lang w:val="pl-PL"/>
              </w:rPr>
              <w:t>ło rozwoju językowego dzieci (</w:t>
            </w:r>
            <w:proofErr w:type="spellStart"/>
            <w:r w:rsidR="00FF3BA4">
              <w:rPr>
                <w:rFonts w:ascii="Arial" w:eastAsia="Arial" w:hAnsi="Arial" w:cs="Arial"/>
                <w:b/>
                <w:color w:val="000000" w:themeColor="text1"/>
                <w:sz w:val="22"/>
                <w:szCs w:val="22"/>
                <w:highlight w:val="white"/>
                <w:lang w:val="pl-PL"/>
              </w:rPr>
              <w:t>L</w:t>
            </w:r>
            <w:r w:rsidR="00FF3BA4" w:rsidRPr="00FF3BA4">
              <w:rPr>
                <w:rFonts w:ascii="Arial" w:eastAsia="Arial" w:hAnsi="Arial" w:cs="Arial"/>
                <w:b/>
                <w:color w:val="000000" w:themeColor="text1"/>
                <w:sz w:val="22"/>
                <w:szCs w:val="22"/>
                <w:highlight w:val="white"/>
                <w:lang w:val="pl-PL"/>
              </w:rPr>
              <w:t>iteracy</w:t>
            </w:r>
            <w:proofErr w:type="spellEnd"/>
            <w:r w:rsidR="00FF3BA4">
              <w:rPr>
                <w:rFonts w:ascii="Arial" w:eastAsia="Arial" w:hAnsi="Arial" w:cs="Arial"/>
                <w:b/>
                <w:color w:val="000000" w:themeColor="text1"/>
                <w:sz w:val="22"/>
                <w:szCs w:val="22"/>
                <w:highlight w:val="white"/>
                <w:lang w:val="pl-PL"/>
              </w:rPr>
              <w:t>)</w:t>
            </w:r>
          </w:p>
          <w:p w:rsidR="00FF3BA4" w:rsidRPr="00FF3BA4" w:rsidRDefault="00FF3BA4" w:rsidP="00FF3BA4">
            <w:pPr>
              <w:pBdr>
                <w:top w:val="nil"/>
                <w:left w:val="nil"/>
                <w:bottom w:val="nil"/>
                <w:right w:val="nil"/>
                <w:between w:val="nil"/>
              </w:pBdr>
              <w:spacing w:after="160" w:line="259" w:lineRule="auto"/>
              <w:rPr>
                <w:rFonts w:ascii="Arial" w:eastAsia="Arial" w:hAnsi="Arial" w:cs="Arial"/>
                <w:color w:val="000000" w:themeColor="text1"/>
                <w:sz w:val="22"/>
                <w:szCs w:val="22"/>
                <w:highlight w:val="white"/>
                <w:lang w:val="pl-PL"/>
              </w:rPr>
            </w:pPr>
            <w:r>
              <w:rPr>
                <w:rFonts w:ascii="Arial" w:eastAsia="Arial" w:hAnsi="Arial" w:cs="Arial"/>
                <w:color w:val="000000" w:themeColor="text1"/>
                <w:sz w:val="22"/>
                <w:szCs w:val="22"/>
                <w:highlight w:val="white"/>
                <w:lang w:val="pl-PL"/>
              </w:rPr>
              <w:lastRenderedPageBreak/>
              <w:t>m</w:t>
            </w:r>
            <w:r w:rsidRPr="00FF3BA4">
              <w:rPr>
                <w:rFonts w:ascii="Arial" w:eastAsia="Arial" w:hAnsi="Arial" w:cs="Arial"/>
                <w:color w:val="000000" w:themeColor="text1"/>
                <w:sz w:val="22"/>
                <w:szCs w:val="22"/>
                <w:highlight w:val="white"/>
                <w:lang w:val="pl-PL"/>
              </w:rPr>
              <w:t>gr Marta Słowikowska</w:t>
            </w:r>
          </w:p>
        </w:tc>
        <w:tc>
          <w:tcPr>
            <w:tcW w:w="6310" w:type="dxa"/>
          </w:tcPr>
          <w:p w:rsidR="00AF07DD" w:rsidRPr="007B195F" w:rsidRDefault="007B195F" w:rsidP="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E724C7">
              <w:rPr>
                <w:rFonts w:ascii="Arial" w:hAnsi="Arial" w:cs="Arial"/>
                <w:color w:val="FF0000"/>
              </w:rPr>
              <w:lastRenderedPageBreak/>
              <w:t>Detailed information will be available as soon as possible</w:t>
            </w:r>
          </w:p>
        </w:tc>
        <w:tc>
          <w:tcPr>
            <w:tcW w:w="1276"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lang w:val="pl-PL"/>
              </w:rPr>
            </w:pPr>
            <w:r w:rsidRPr="00FF3BA4">
              <w:rPr>
                <w:rFonts w:ascii="Arial" w:eastAsia="Arial" w:hAnsi="Arial" w:cs="Arial"/>
                <w:color w:val="000000" w:themeColor="text1"/>
                <w:sz w:val="22"/>
                <w:szCs w:val="22"/>
                <w:lang w:val="pl-PL"/>
              </w:rPr>
              <w:t>4</w:t>
            </w:r>
          </w:p>
        </w:tc>
        <w:tc>
          <w:tcPr>
            <w:tcW w:w="1560" w:type="dxa"/>
          </w:tcPr>
          <w:p w:rsidR="00AF07DD" w:rsidRPr="00FF3BA4" w:rsidRDefault="006F727A">
            <w:pPr>
              <w:pBdr>
                <w:top w:val="nil"/>
                <w:left w:val="nil"/>
                <w:bottom w:val="nil"/>
                <w:right w:val="nil"/>
                <w:between w:val="nil"/>
              </w:pBdr>
              <w:spacing w:after="160" w:line="259" w:lineRule="auto"/>
              <w:rPr>
                <w:rFonts w:ascii="Arial" w:eastAsia="Arial" w:hAnsi="Arial" w:cs="Arial"/>
                <w:color w:val="000000" w:themeColor="text1"/>
                <w:sz w:val="22"/>
                <w:szCs w:val="22"/>
                <w:lang w:val="pl-PL"/>
              </w:rPr>
            </w:pPr>
            <w:r w:rsidRPr="00FF3BA4">
              <w:rPr>
                <w:rFonts w:ascii="Arial" w:eastAsia="Arial" w:hAnsi="Arial" w:cs="Arial"/>
                <w:color w:val="000000" w:themeColor="text1"/>
                <w:sz w:val="22"/>
                <w:szCs w:val="22"/>
                <w:lang w:val="pl-PL"/>
              </w:rPr>
              <w:t>B2</w:t>
            </w:r>
          </w:p>
        </w:tc>
      </w:tr>
      <w:tr w:rsidR="009A4814" w:rsidRPr="009A4814">
        <w:trPr>
          <w:trHeight w:val="758"/>
        </w:trPr>
        <w:tc>
          <w:tcPr>
            <w:tcW w:w="534" w:type="dxa"/>
          </w:tcPr>
          <w:p w:rsidR="000960E6" w:rsidRPr="00F92221" w:rsidRDefault="00F92221">
            <w:pPr>
              <w:pBdr>
                <w:top w:val="nil"/>
                <w:left w:val="nil"/>
                <w:bottom w:val="nil"/>
                <w:right w:val="nil"/>
                <w:between w:val="nil"/>
              </w:pBdr>
              <w:rPr>
                <w:rFonts w:ascii="Arial" w:eastAsia="Arial" w:hAnsi="Arial" w:cs="Arial"/>
                <w:color w:val="000000" w:themeColor="text1"/>
                <w:sz w:val="22"/>
                <w:szCs w:val="22"/>
                <w:lang w:val="pl-PL"/>
              </w:rPr>
            </w:pPr>
            <w:r>
              <w:rPr>
                <w:rFonts w:ascii="Arial" w:eastAsia="Arial" w:hAnsi="Arial" w:cs="Arial"/>
                <w:color w:val="000000" w:themeColor="text1"/>
                <w:sz w:val="22"/>
                <w:szCs w:val="22"/>
                <w:lang w:val="pl-PL"/>
              </w:rPr>
              <w:t>17</w:t>
            </w:r>
            <w:r w:rsidR="00FC6504" w:rsidRPr="00F92221">
              <w:rPr>
                <w:rFonts w:ascii="Arial" w:eastAsia="Arial" w:hAnsi="Arial" w:cs="Arial"/>
                <w:color w:val="000000" w:themeColor="text1"/>
                <w:sz w:val="22"/>
                <w:szCs w:val="22"/>
                <w:lang w:val="pl-PL"/>
              </w:rPr>
              <w:t>.</w:t>
            </w:r>
          </w:p>
        </w:tc>
        <w:tc>
          <w:tcPr>
            <w:tcW w:w="2150" w:type="dxa"/>
          </w:tcPr>
          <w:p w:rsidR="000960E6" w:rsidRPr="00FF3BA4" w:rsidRDefault="000F0043">
            <w:pPr>
              <w:pBdr>
                <w:top w:val="nil"/>
                <w:left w:val="nil"/>
                <w:bottom w:val="nil"/>
                <w:right w:val="nil"/>
                <w:between w:val="nil"/>
              </w:pBdr>
              <w:spacing w:after="160" w:line="259" w:lineRule="auto"/>
              <w:rPr>
                <w:rFonts w:ascii="Arial" w:eastAsia="Arial" w:hAnsi="Arial" w:cs="Arial"/>
                <w:color w:val="92CDDC" w:themeColor="accent5" w:themeTint="99"/>
                <w:sz w:val="22"/>
                <w:szCs w:val="22"/>
                <w:lang w:val="pl-PL"/>
              </w:rPr>
            </w:pPr>
            <w:r w:rsidRPr="00FF3BA4">
              <w:rPr>
                <w:rFonts w:ascii="Arial" w:hAnsi="Arial" w:cs="Arial"/>
                <w:color w:val="000000" w:themeColor="text1"/>
                <w:sz w:val="22"/>
                <w:szCs w:val="22"/>
                <w:lang w:val="pl-PL"/>
              </w:rPr>
              <w:t>2300-J-MPNJA-PPP</w:t>
            </w:r>
          </w:p>
        </w:tc>
        <w:tc>
          <w:tcPr>
            <w:tcW w:w="3475" w:type="dxa"/>
          </w:tcPr>
          <w:p w:rsidR="000960E6" w:rsidRPr="00C4695B" w:rsidRDefault="00C4695B">
            <w:pPr>
              <w:pBdr>
                <w:top w:val="nil"/>
                <w:left w:val="nil"/>
                <w:bottom w:val="nil"/>
                <w:right w:val="nil"/>
                <w:between w:val="nil"/>
              </w:pBdr>
              <w:spacing w:after="160" w:line="259" w:lineRule="auto"/>
              <w:rPr>
                <w:rFonts w:ascii="Arial" w:eastAsia="Arial" w:hAnsi="Arial" w:cs="Arial"/>
                <w:b/>
                <w:color w:val="000000" w:themeColor="text1"/>
                <w:sz w:val="22"/>
                <w:szCs w:val="22"/>
                <w:lang w:val="pl-PL"/>
              </w:rPr>
            </w:pPr>
            <w:proofErr w:type="spellStart"/>
            <w:r w:rsidRPr="00C4695B">
              <w:rPr>
                <w:rFonts w:ascii="Arial" w:eastAsia="Arial" w:hAnsi="Arial" w:cs="Arial"/>
                <w:b/>
                <w:color w:val="000000" w:themeColor="text1"/>
                <w:sz w:val="22"/>
                <w:szCs w:val="22"/>
                <w:lang w:val="pl-PL"/>
              </w:rPr>
              <w:t>Psychological</w:t>
            </w:r>
            <w:proofErr w:type="spellEnd"/>
            <w:r w:rsidRPr="00C4695B">
              <w:rPr>
                <w:rFonts w:ascii="Arial" w:eastAsia="Arial" w:hAnsi="Arial" w:cs="Arial"/>
                <w:b/>
                <w:color w:val="000000" w:themeColor="text1"/>
                <w:sz w:val="22"/>
                <w:szCs w:val="22"/>
                <w:lang w:val="pl-PL"/>
              </w:rPr>
              <w:t xml:space="preserve"> and </w:t>
            </w:r>
            <w:proofErr w:type="spellStart"/>
            <w:r w:rsidRPr="00C4695B">
              <w:rPr>
                <w:rFonts w:ascii="Arial" w:eastAsia="Arial" w:hAnsi="Arial" w:cs="Arial"/>
                <w:b/>
                <w:color w:val="000000" w:themeColor="text1"/>
                <w:sz w:val="22"/>
                <w:szCs w:val="22"/>
                <w:lang w:val="pl-PL"/>
              </w:rPr>
              <w:t>pedagogical</w:t>
            </w:r>
            <w:proofErr w:type="spellEnd"/>
            <w:r w:rsidRPr="00C4695B">
              <w:rPr>
                <w:rFonts w:ascii="Arial" w:eastAsia="Arial" w:hAnsi="Arial" w:cs="Arial"/>
                <w:b/>
                <w:color w:val="000000" w:themeColor="text1"/>
                <w:sz w:val="22"/>
                <w:szCs w:val="22"/>
                <w:lang w:val="pl-PL"/>
              </w:rPr>
              <w:t xml:space="preserve"> </w:t>
            </w:r>
            <w:proofErr w:type="spellStart"/>
            <w:r w:rsidRPr="00C4695B">
              <w:rPr>
                <w:rFonts w:ascii="Arial" w:eastAsia="Arial" w:hAnsi="Arial" w:cs="Arial"/>
                <w:b/>
                <w:color w:val="000000" w:themeColor="text1"/>
                <w:sz w:val="22"/>
                <w:szCs w:val="22"/>
                <w:lang w:val="pl-PL"/>
              </w:rPr>
              <w:t>foundation</w:t>
            </w:r>
            <w:proofErr w:type="spellEnd"/>
            <w:r w:rsidRPr="00C4695B">
              <w:rPr>
                <w:rFonts w:ascii="Arial" w:eastAsia="Arial" w:hAnsi="Arial" w:cs="Arial"/>
                <w:b/>
                <w:color w:val="000000" w:themeColor="text1"/>
                <w:sz w:val="22"/>
                <w:szCs w:val="22"/>
                <w:lang w:val="pl-PL"/>
              </w:rPr>
              <w:t xml:space="preserve"> of </w:t>
            </w:r>
            <w:proofErr w:type="spellStart"/>
            <w:r w:rsidRPr="00C4695B">
              <w:rPr>
                <w:rFonts w:ascii="Arial" w:eastAsia="Arial" w:hAnsi="Arial" w:cs="Arial"/>
                <w:b/>
                <w:color w:val="000000" w:themeColor="text1"/>
                <w:sz w:val="22"/>
                <w:szCs w:val="22"/>
                <w:lang w:val="pl-PL"/>
              </w:rPr>
              <w:t>childrens</w:t>
            </w:r>
            <w:proofErr w:type="spellEnd"/>
            <w:r w:rsidRPr="00C4695B">
              <w:rPr>
                <w:rFonts w:ascii="Arial" w:eastAsia="Arial" w:hAnsi="Arial" w:cs="Arial"/>
                <w:b/>
                <w:color w:val="000000" w:themeColor="text1"/>
                <w:sz w:val="22"/>
                <w:szCs w:val="22"/>
                <w:lang w:val="pl-PL"/>
              </w:rPr>
              <w:t xml:space="preserve"> </w:t>
            </w:r>
            <w:proofErr w:type="spellStart"/>
            <w:r w:rsidRPr="00C4695B">
              <w:rPr>
                <w:rFonts w:ascii="Arial" w:eastAsia="Arial" w:hAnsi="Arial" w:cs="Arial"/>
                <w:b/>
                <w:color w:val="000000" w:themeColor="text1"/>
                <w:sz w:val="22"/>
                <w:szCs w:val="22"/>
                <w:lang w:val="pl-PL"/>
              </w:rPr>
              <w:t>language</w:t>
            </w:r>
            <w:proofErr w:type="spellEnd"/>
            <w:r w:rsidRPr="00C4695B">
              <w:rPr>
                <w:rFonts w:ascii="Arial" w:eastAsia="Arial" w:hAnsi="Arial" w:cs="Arial"/>
                <w:b/>
                <w:color w:val="000000" w:themeColor="text1"/>
                <w:sz w:val="22"/>
                <w:szCs w:val="22"/>
                <w:lang w:val="pl-PL"/>
              </w:rPr>
              <w:t xml:space="preserve"> learning</w:t>
            </w:r>
            <w:r w:rsidR="000960E6" w:rsidRPr="00C4695B">
              <w:rPr>
                <w:rFonts w:ascii="Arial" w:eastAsia="Arial" w:hAnsi="Arial" w:cs="Arial"/>
                <w:b/>
                <w:color w:val="000000" w:themeColor="text1"/>
                <w:sz w:val="22"/>
                <w:szCs w:val="22"/>
                <w:lang w:val="pl-PL"/>
              </w:rPr>
              <w:t>/ Psychologiczne i pedagogiczne podstawy nauczania dzieci języka</w:t>
            </w:r>
          </w:p>
          <w:p w:rsidR="003F7FD5" w:rsidRPr="009A4814" w:rsidRDefault="003F7FD5">
            <w:pPr>
              <w:pBdr>
                <w:top w:val="nil"/>
                <w:left w:val="nil"/>
                <w:bottom w:val="nil"/>
                <w:right w:val="nil"/>
                <w:between w:val="nil"/>
              </w:pBdr>
              <w:spacing w:after="160" w:line="259" w:lineRule="auto"/>
              <w:rPr>
                <w:rFonts w:ascii="Arial" w:eastAsia="Arial" w:hAnsi="Arial" w:cs="Arial"/>
                <w:b/>
                <w:color w:val="92CDDC" w:themeColor="accent5" w:themeTint="99"/>
                <w:sz w:val="22"/>
                <w:szCs w:val="22"/>
                <w:highlight w:val="white"/>
                <w:lang w:val="pl-PL"/>
              </w:rPr>
            </w:pPr>
            <w:r w:rsidRPr="00C4695B">
              <w:rPr>
                <w:rFonts w:ascii="Arial" w:eastAsia="Arial" w:hAnsi="Arial" w:cs="Arial"/>
                <w:color w:val="000000" w:themeColor="text1"/>
                <w:sz w:val="22"/>
                <w:szCs w:val="22"/>
                <w:highlight w:val="white"/>
                <w:lang w:val="pl-PL"/>
              </w:rPr>
              <w:t>dr Katarzyna Brzosko-Barratt</w:t>
            </w:r>
          </w:p>
        </w:tc>
        <w:tc>
          <w:tcPr>
            <w:tcW w:w="6310" w:type="dxa"/>
          </w:tcPr>
          <w:p w:rsidR="000960E6" w:rsidRPr="007B195F" w:rsidRDefault="007B195F">
            <w:pPr>
              <w:pBdr>
                <w:top w:val="nil"/>
                <w:left w:val="nil"/>
                <w:bottom w:val="nil"/>
                <w:right w:val="nil"/>
                <w:between w:val="nil"/>
              </w:pBdr>
              <w:spacing w:after="160" w:line="259" w:lineRule="auto"/>
              <w:rPr>
                <w:rFonts w:ascii="Arial" w:eastAsia="Arial" w:hAnsi="Arial" w:cs="Arial"/>
                <w:color w:val="92CDDC" w:themeColor="accent5" w:themeTint="99"/>
                <w:sz w:val="22"/>
                <w:szCs w:val="22"/>
              </w:rPr>
            </w:pPr>
            <w:r w:rsidRPr="00E724C7">
              <w:rPr>
                <w:rFonts w:ascii="Arial" w:hAnsi="Arial" w:cs="Arial"/>
                <w:color w:val="FF0000"/>
              </w:rPr>
              <w:t>Detailed information will be available as soon as possible</w:t>
            </w:r>
          </w:p>
        </w:tc>
        <w:tc>
          <w:tcPr>
            <w:tcW w:w="1276" w:type="dxa"/>
          </w:tcPr>
          <w:p w:rsidR="000960E6" w:rsidRPr="00C4695B" w:rsidRDefault="000960E6">
            <w:pPr>
              <w:pBdr>
                <w:top w:val="nil"/>
                <w:left w:val="nil"/>
                <w:bottom w:val="nil"/>
                <w:right w:val="nil"/>
                <w:between w:val="nil"/>
              </w:pBdr>
              <w:spacing w:after="160" w:line="259" w:lineRule="auto"/>
              <w:rPr>
                <w:rFonts w:ascii="Arial" w:eastAsia="Arial" w:hAnsi="Arial" w:cs="Arial"/>
                <w:color w:val="000000" w:themeColor="text1"/>
                <w:sz w:val="22"/>
                <w:szCs w:val="22"/>
              </w:rPr>
            </w:pPr>
            <w:r w:rsidRPr="00C4695B">
              <w:rPr>
                <w:rFonts w:ascii="Arial" w:eastAsia="Arial" w:hAnsi="Arial" w:cs="Arial"/>
                <w:color w:val="000000" w:themeColor="text1"/>
                <w:sz w:val="22"/>
                <w:szCs w:val="22"/>
              </w:rPr>
              <w:t>2</w:t>
            </w:r>
          </w:p>
        </w:tc>
        <w:tc>
          <w:tcPr>
            <w:tcW w:w="1560" w:type="dxa"/>
          </w:tcPr>
          <w:p w:rsidR="000960E6" w:rsidRPr="00C4695B" w:rsidRDefault="000960E6">
            <w:pPr>
              <w:pBdr>
                <w:top w:val="nil"/>
                <w:left w:val="nil"/>
                <w:bottom w:val="nil"/>
                <w:right w:val="nil"/>
                <w:between w:val="nil"/>
              </w:pBdr>
              <w:spacing w:after="160" w:line="259" w:lineRule="auto"/>
              <w:rPr>
                <w:rFonts w:ascii="Arial" w:eastAsia="Arial" w:hAnsi="Arial" w:cs="Arial"/>
                <w:color w:val="000000" w:themeColor="text1"/>
                <w:sz w:val="22"/>
                <w:szCs w:val="22"/>
              </w:rPr>
            </w:pPr>
            <w:r w:rsidRPr="00C4695B">
              <w:rPr>
                <w:rFonts w:ascii="Arial" w:eastAsia="Arial" w:hAnsi="Arial" w:cs="Arial"/>
                <w:color w:val="000000" w:themeColor="text1"/>
                <w:sz w:val="22"/>
                <w:szCs w:val="22"/>
              </w:rPr>
              <w:t>B2</w:t>
            </w:r>
          </w:p>
        </w:tc>
      </w:tr>
      <w:tr w:rsidR="00DC6043" w:rsidRPr="009A4814">
        <w:trPr>
          <w:trHeight w:val="758"/>
        </w:trPr>
        <w:tc>
          <w:tcPr>
            <w:tcW w:w="534" w:type="dxa"/>
          </w:tcPr>
          <w:p w:rsidR="00DC6043"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18</w:t>
            </w:r>
            <w:r w:rsidR="00FC6504" w:rsidRPr="00F92221">
              <w:rPr>
                <w:rFonts w:ascii="Arial" w:eastAsia="Arial" w:hAnsi="Arial" w:cs="Arial"/>
                <w:color w:val="000000" w:themeColor="text1"/>
                <w:sz w:val="22"/>
                <w:szCs w:val="22"/>
              </w:rPr>
              <w:t>.</w:t>
            </w:r>
          </w:p>
        </w:tc>
        <w:tc>
          <w:tcPr>
            <w:tcW w:w="2150" w:type="dxa"/>
          </w:tcPr>
          <w:p w:rsidR="00DC6043" w:rsidRPr="00C4695B" w:rsidRDefault="00724D11">
            <w:pPr>
              <w:pBdr>
                <w:top w:val="nil"/>
                <w:left w:val="nil"/>
                <w:bottom w:val="nil"/>
                <w:right w:val="nil"/>
                <w:between w:val="nil"/>
              </w:pBdr>
              <w:spacing w:after="160" w:line="259" w:lineRule="auto"/>
              <w:rPr>
                <w:rFonts w:ascii="Arial" w:eastAsia="Arial" w:hAnsi="Arial" w:cs="Arial"/>
                <w:color w:val="000000" w:themeColor="text1"/>
                <w:sz w:val="22"/>
                <w:szCs w:val="22"/>
              </w:rPr>
            </w:pPr>
            <w:r w:rsidRPr="00C4695B">
              <w:rPr>
                <w:rFonts w:ascii="Arial" w:eastAsia="Arial" w:hAnsi="Arial" w:cs="Arial"/>
                <w:color w:val="000000" w:themeColor="text1"/>
                <w:sz w:val="22"/>
                <w:szCs w:val="22"/>
              </w:rPr>
              <w:t>2300-J-MPNJA-WND</w:t>
            </w:r>
          </w:p>
        </w:tc>
        <w:tc>
          <w:tcPr>
            <w:tcW w:w="3475" w:type="dxa"/>
          </w:tcPr>
          <w:p w:rsidR="00DC6043" w:rsidRPr="00C4695B" w:rsidRDefault="00DC6043">
            <w:pPr>
              <w:pBdr>
                <w:top w:val="nil"/>
                <w:left w:val="nil"/>
                <w:bottom w:val="nil"/>
                <w:right w:val="nil"/>
                <w:between w:val="nil"/>
              </w:pBdr>
              <w:spacing w:after="160" w:line="259" w:lineRule="auto"/>
              <w:rPr>
                <w:rFonts w:ascii="Arial" w:eastAsia="Arial" w:hAnsi="Arial" w:cs="Arial"/>
                <w:b/>
                <w:color w:val="000000" w:themeColor="text1"/>
                <w:sz w:val="22"/>
                <w:szCs w:val="22"/>
                <w:lang w:val="pl-PL"/>
              </w:rPr>
            </w:pPr>
            <w:proofErr w:type="spellStart"/>
            <w:r w:rsidRPr="00C4695B">
              <w:rPr>
                <w:rFonts w:ascii="Arial" w:eastAsia="Arial" w:hAnsi="Arial" w:cs="Arial"/>
                <w:b/>
                <w:color w:val="000000" w:themeColor="text1"/>
                <w:sz w:val="22"/>
                <w:szCs w:val="22"/>
                <w:lang w:val="pl-PL"/>
              </w:rPr>
              <w:t>Introduction</w:t>
            </w:r>
            <w:proofErr w:type="spellEnd"/>
            <w:r w:rsidRPr="00C4695B">
              <w:rPr>
                <w:rFonts w:ascii="Arial" w:eastAsia="Arial" w:hAnsi="Arial" w:cs="Arial"/>
                <w:b/>
                <w:color w:val="000000" w:themeColor="text1"/>
                <w:sz w:val="22"/>
                <w:szCs w:val="22"/>
                <w:lang w:val="pl-PL"/>
              </w:rPr>
              <w:t xml:space="preserve"> to </w:t>
            </w:r>
            <w:proofErr w:type="spellStart"/>
            <w:r w:rsidRPr="00C4695B">
              <w:rPr>
                <w:rFonts w:ascii="Arial" w:eastAsia="Arial" w:hAnsi="Arial" w:cs="Arial"/>
                <w:b/>
                <w:color w:val="000000" w:themeColor="text1"/>
                <w:sz w:val="22"/>
                <w:szCs w:val="22"/>
                <w:lang w:val="pl-PL"/>
              </w:rPr>
              <w:t>young</w:t>
            </w:r>
            <w:proofErr w:type="spellEnd"/>
            <w:r w:rsidRPr="00C4695B">
              <w:rPr>
                <w:rFonts w:ascii="Arial" w:eastAsia="Arial" w:hAnsi="Arial" w:cs="Arial"/>
                <w:b/>
                <w:color w:val="000000" w:themeColor="text1"/>
                <w:sz w:val="22"/>
                <w:szCs w:val="22"/>
                <w:lang w:val="pl-PL"/>
              </w:rPr>
              <w:t xml:space="preserve"> </w:t>
            </w:r>
            <w:proofErr w:type="spellStart"/>
            <w:r w:rsidRPr="00C4695B">
              <w:rPr>
                <w:rFonts w:ascii="Arial" w:eastAsia="Arial" w:hAnsi="Arial" w:cs="Arial"/>
                <w:b/>
                <w:color w:val="000000" w:themeColor="text1"/>
                <w:sz w:val="22"/>
                <w:szCs w:val="22"/>
                <w:lang w:val="pl-PL"/>
              </w:rPr>
              <w:t>learners</w:t>
            </w:r>
            <w:proofErr w:type="spellEnd"/>
            <w:r w:rsidRPr="00C4695B">
              <w:rPr>
                <w:rFonts w:ascii="Arial" w:eastAsia="Arial" w:hAnsi="Arial" w:cs="Arial"/>
                <w:b/>
                <w:color w:val="000000" w:themeColor="text1"/>
                <w:sz w:val="22"/>
                <w:szCs w:val="22"/>
                <w:lang w:val="pl-PL"/>
              </w:rPr>
              <w:t xml:space="preserve"> </w:t>
            </w:r>
            <w:proofErr w:type="spellStart"/>
            <w:r w:rsidRPr="00C4695B">
              <w:rPr>
                <w:rFonts w:ascii="Arial" w:eastAsia="Arial" w:hAnsi="Arial" w:cs="Arial"/>
                <w:b/>
                <w:color w:val="000000" w:themeColor="text1"/>
                <w:sz w:val="22"/>
                <w:szCs w:val="22"/>
                <w:lang w:val="pl-PL"/>
              </w:rPr>
              <w:t>teaching</w:t>
            </w:r>
            <w:proofErr w:type="spellEnd"/>
            <w:r w:rsidRPr="00C4695B">
              <w:rPr>
                <w:rFonts w:ascii="Arial" w:eastAsia="Arial" w:hAnsi="Arial" w:cs="Arial"/>
                <w:b/>
                <w:color w:val="000000" w:themeColor="text1"/>
                <w:sz w:val="22"/>
                <w:szCs w:val="22"/>
                <w:lang w:val="pl-PL"/>
              </w:rPr>
              <w:t>/ Wprowadzenie do nauczania dzieci języka angielskiego</w:t>
            </w:r>
          </w:p>
          <w:p w:rsidR="00467CA6"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lang w:val="pl-PL"/>
              </w:rPr>
              <w:t>d</w:t>
            </w:r>
            <w:r w:rsidR="00467CA6" w:rsidRPr="00FF3BA4">
              <w:rPr>
                <w:rFonts w:ascii="Arial" w:eastAsia="Arial" w:hAnsi="Arial" w:cs="Arial"/>
                <w:color w:val="000000" w:themeColor="text1"/>
                <w:sz w:val="22"/>
                <w:szCs w:val="22"/>
              </w:rPr>
              <w:t>r Kamila Wichrowska</w:t>
            </w:r>
          </w:p>
        </w:tc>
        <w:tc>
          <w:tcPr>
            <w:tcW w:w="6310" w:type="dxa"/>
          </w:tcPr>
          <w:p w:rsidR="00DC6043" w:rsidRPr="00FF3BA4" w:rsidRDefault="007B195F">
            <w:pPr>
              <w:pBdr>
                <w:top w:val="nil"/>
                <w:left w:val="nil"/>
                <w:bottom w:val="nil"/>
                <w:right w:val="nil"/>
                <w:between w:val="nil"/>
              </w:pBdr>
              <w:spacing w:after="160" w:line="259" w:lineRule="auto"/>
              <w:rPr>
                <w:rFonts w:ascii="Arial" w:eastAsia="Arial" w:hAnsi="Arial" w:cs="Arial"/>
                <w:color w:val="000000" w:themeColor="text1"/>
                <w:sz w:val="22"/>
                <w:szCs w:val="22"/>
              </w:rPr>
            </w:pPr>
            <w:r w:rsidRPr="00E724C7">
              <w:rPr>
                <w:rFonts w:ascii="Arial" w:hAnsi="Arial" w:cs="Arial"/>
                <w:color w:val="FF0000"/>
              </w:rPr>
              <w:t>Detailed information will be available as soon as possible</w:t>
            </w:r>
          </w:p>
        </w:tc>
        <w:tc>
          <w:tcPr>
            <w:tcW w:w="1276" w:type="dxa"/>
          </w:tcPr>
          <w:p w:rsidR="00DC6043" w:rsidRPr="00FF3BA4" w:rsidRDefault="00DC6043">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4</w:t>
            </w:r>
          </w:p>
        </w:tc>
        <w:tc>
          <w:tcPr>
            <w:tcW w:w="1560" w:type="dxa"/>
          </w:tcPr>
          <w:p w:rsidR="00DC6043" w:rsidRPr="00FF3BA4" w:rsidRDefault="00DC6043">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B2</w:t>
            </w:r>
          </w:p>
          <w:p w:rsidR="00FF3BA4"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p>
        </w:tc>
      </w:tr>
      <w:tr w:rsidR="00FF3BA4" w:rsidRPr="009A4814">
        <w:trPr>
          <w:trHeight w:val="758"/>
        </w:trPr>
        <w:tc>
          <w:tcPr>
            <w:tcW w:w="534" w:type="dxa"/>
          </w:tcPr>
          <w:p w:rsidR="00FF3BA4" w:rsidRPr="00F92221" w:rsidRDefault="00F92221">
            <w:pPr>
              <w:pBdr>
                <w:top w:val="nil"/>
                <w:left w:val="nil"/>
                <w:bottom w:val="nil"/>
                <w:right w:val="nil"/>
                <w:between w:val="nil"/>
              </w:pBdr>
              <w:rPr>
                <w:rFonts w:ascii="Arial" w:eastAsia="Arial" w:hAnsi="Arial" w:cs="Arial"/>
                <w:color w:val="000000" w:themeColor="text1"/>
                <w:sz w:val="22"/>
                <w:szCs w:val="22"/>
              </w:rPr>
            </w:pPr>
            <w:r>
              <w:rPr>
                <w:rFonts w:ascii="Arial" w:eastAsia="Arial" w:hAnsi="Arial" w:cs="Arial"/>
                <w:color w:val="000000" w:themeColor="text1"/>
                <w:sz w:val="22"/>
                <w:szCs w:val="22"/>
              </w:rPr>
              <w:t>19.</w:t>
            </w:r>
          </w:p>
        </w:tc>
        <w:tc>
          <w:tcPr>
            <w:tcW w:w="2150" w:type="dxa"/>
          </w:tcPr>
          <w:p w:rsidR="00FF3BA4" w:rsidRPr="00C4695B"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2300-KJO-40/LCS</w:t>
            </w:r>
          </w:p>
        </w:tc>
        <w:tc>
          <w:tcPr>
            <w:tcW w:w="3475" w:type="dxa"/>
          </w:tcPr>
          <w:p w:rsidR="00FF3BA4" w:rsidRDefault="00FF3BA4">
            <w:pPr>
              <w:pBdr>
                <w:top w:val="nil"/>
                <w:left w:val="nil"/>
                <w:bottom w:val="nil"/>
                <w:right w:val="nil"/>
                <w:between w:val="nil"/>
              </w:pBdr>
              <w:spacing w:after="160" w:line="259" w:lineRule="auto"/>
              <w:rPr>
                <w:rFonts w:ascii="Arial" w:eastAsia="Arial" w:hAnsi="Arial" w:cs="Arial"/>
                <w:b/>
                <w:color w:val="000000" w:themeColor="text1"/>
                <w:sz w:val="22"/>
                <w:szCs w:val="22"/>
              </w:rPr>
            </w:pPr>
            <w:r w:rsidRPr="00FF3BA4">
              <w:rPr>
                <w:rFonts w:ascii="Arial" w:eastAsia="Arial" w:hAnsi="Arial" w:cs="Arial"/>
                <w:b/>
                <w:color w:val="000000" w:themeColor="text1"/>
                <w:sz w:val="22"/>
                <w:szCs w:val="22"/>
              </w:rPr>
              <w:t xml:space="preserve">MKJO - Learning through common </w:t>
            </w:r>
            <w:proofErr w:type="spellStart"/>
            <w:r w:rsidRPr="00FF3BA4">
              <w:rPr>
                <w:rFonts w:ascii="Arial" w:eastAsia="Arial" w:hAnsi="Arial" w:cs="Arial"/>
                <w:b/>
                <w:color w:val="000000" w:themeColor="text1"/>
                <w:sz w:val="22"/>
                <w:szCs w:val="22"/>
              </w:rPr>
              <w:t>sens</w:t>
            </w:r>
            <w:proofErr w:type="spellEnd"/>
          </w:p>
          <w:p w:rsidR="00FF3BA4"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proofErr w:type="spellStart"/>
            <w:r>
              <w:rPr>
                <w:rFonts w:ascii="Arial" w:eastAsia="Arial" w:hAnsi="Arial" w:cs="Arial"/>
                <w:color w:val="000000" w:themeColor="text1"/>
                <w:sz w:val="22"/>
                <w:szCs w:val="22"/>
              </w:rPr>
              <w:t>d</w:t>
            </w:r>
            <w:r w:rsidRPr="00FF3BA4">
              <w:rPr>
                <w:rFonts w:ascii="Arial" w:eastAsia="Arial" w:hAnsi="Arial" w:cs="Arial"/>
                <w:color w:val="000000" w:themeColor="text1"/>
                <w:sz w:val="22"/>
                <w:szCs w:val="22"/>
              </w:rPr>
              <w:t>r</w:t>
            </w:r>
            <w:proofErr w:type="spellEnd"/>
            <w:r w:rsidRPr="00FF3BA4">
              <w:rPr>
                <w:rFonts w:ascii="Arial" w:eastAsia="Arial" w:hAnsi="Arial" w:cs="Arial"/>
                <w:color w:val="000000" w:themeColor="text1"/>
                <w:sz w:val="22"/>
                <w:szCs w:val="22"/>
              </w:rPr>
              <w:t xml:space="preserve"> </w:t>
            </w:r>
            <w:proofErr w:type="spellStart"/>
            <w:r w:rsidRPr="00FF3BA4">
              <w:rPr>
                <w:rFonts w:ascii="Arial" w:eastAsia="Arial" w:hAnsi="Arial" w:cs="Arial"/>
                <w:color w:val="000000" w:themeColor="text1"/>
                <w:sz w:val="22"/>
                <w:szCs w:val="22"/>
              </w:rPr>
              <w:t>Michał</w:t>
            </w:r>
            <w:proofErr w:type="spellEnd"/>
            <w:r w:rsidRPr="00FF3BA4">
              <w:rPr>
                <w:rFonts w:ascii="Arial" w:eastAsia="Arial" w:hAnsi="Arial" w:cs="Arial"/>
                <w:color w:val="000000" w:themeColor="text1"/>
                <w:sz w:val="22"/>
                <w:szCs w:val="22"/>
              </w:rPr>
              <w:t xml:space="preserve"> </w:t>
            </w:r>
            <w:proofErr w:type="spellStart"/>
            <w:r w:rsidRPr="00FF3BA4">
              <w:rPr>
                <w:rFonts w:ascii="Arial" w:eastAsia="Arial" w:hAnsi="Arial" w:cs="Arial"/>
                <w:color w:val="000000" w:themeColor="text1"/>
                <w:sz w:val="22"/>
                <w:szCs w:val="22"/>
              </w:rPr>
              <w:t>Rauszer</w:t>
            </w:r>
            <w:proofErr w:type="spellEnd"/>
          </w:p>
          <w:p w:rsidR="00FF3BA4" w:rsidRPr="00FF3BA4" w:rsidRDefault="00FF3BA4">
            <w:pPr>
              <w:pBdr>
                <w:top w:val="nil"/>
                <w:left w:val="nil"/>
                <w:bottom w:val="nil"/>
                <w:right w:val="nil"/>
                <w:between w:val="nil"/>
              </w:pBdr>
              <w:spacing w:after="160" w:line="259" w:lineRule="auto"/>
              <w:rPr>
                <w:rFonts w:ascii="Arial" w:eastAsia="Arial" w:hAnsi="Arial" w:cs="Arial"/>
                <w:b/>
                <w:color w:val="000000" w:themeColor="text1"/>
                <w:sz w:val="22"/>
                <w:szCs w:val="22"/>
              </w:rPr>
            </w:pPr>
          </w:p>
        </w:tc>
        <w:tc>
          <w:tcPr>
            <w:tcW w:w="6310" w:type="dxa"/>
          </w:tcPr>
          <w:p w:rsidR="00FF3BA4" w:rsidRPr="00FF3BA4" w:rsidRDefault="00FF3BA4">
            <w:pPr>
              <w:pBdr>
                <w:top w:val="nil"/>
                <w:left w:val="nil"/>
                <w:bottom w:val="nil"/>
                <w:right w:val="nil"/>
                <w:between w:val="nil"/>
              </w:pBdr>
              <w:spacing w:after="160" w:line="259" w:lineRule="auto"/>
              <w:rPr>
                <w:rFonts w:ascii="Arial" w:eastAsia="Arial" w:hAnsi="Arial" w:cs="Arial"/>
                <w:color w:val="000000" w:themeColor="text1"/>
                <w:sz w:val="22"/>
                <w:szCs w:val="22"/>
              </w:rPr>
            </w:pPr>
            <w:r w:rsidRPr="00FF3BA4">
              <w:rPr>
                <w:rFonts w:ascii="Arial" w:eastAsia="Arial" w:hAnsi="Arial" w:cs="Arial"/>
                <w:color w:val="000000" w:themeColor="text1"/>
                <w:sz w:val="22"/>
                <w:szCs w:val="22"/>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FF3BA4" w:rsidRPr="00FF3BA4" w:rsidRDefault="00F92221">
            <w:pPr>
              <w:pBdr>
                <w:top w:val="nil"/>
                <w:left w:val="nil"/>
                <w:bottom w:val="nil"/>
                <w:right w:val="nil"/>
                <w:between w:val="nil"/>
              </w:pBdr>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4</w:t>
            </w:r>
          </w:p>
        </w:tc>
        <w:tc>
          <w:tcPr>
            <w:tcW w:w="1560" w:type="dxa"/>
          </w:tcPr>
          <w:p w:rsidR="00FF3BA4" w:rsidRPr="00FF3BA4" w:rsidRDefault="00F92221">
            <w:pPr>
              <w:pBdr>
                <w:top w:val="nil"/>
                <w:left w:val="nil"/>
                <w:bottom w:val="nil"/>
                <w:right w:val="nil"/>
                <w:between w:val="nil"/>
              </w:pBdr>
              <w:spacing w:after="160" w:line="259" w:lineRule="auto"/>
              <w:rPr>
                <w:rFonts w:ascii="Arial" w:eastAsia="Arial" w:hAnsi="Arial" w:cs="Arial"/>
                <w:color w:val="000000" w:themeColor="text1"/>
                <w:sz w:val="22"/>
                <w:szCs w:val="22"/>
              </w:rPr>
            </w:pPr>
            <w:r>
              <w:rPr>
                <w:rFonts w:ascii="Arial" w:eastAsia="Arial" w:hAnsi="Arial" w:cs="Arial"/>
                <w:color w:val="000000" w:themeColor="text1"/>
                <w:sz w:val="22"/>
                <w:szCs w:val="22"/>
              </w:rPr>
              <w:t>B2</w:t>
            </w:r>
          </w:p>
        </w:tc>
      </w:tr>
    </w:tbl>
    <w:p w:rsidR="00AF07DD" w:rsidRPr="00FF3BA4" w:rsidRDefault="00AF07DD">
      <w:pPr>
        <w:pBdr>
          <w:top w:val="nil"/>
          <w:left w:val="nil"/>
          <w:bottom w:val="nil"/>
          <w:right w:val="nil"/>
          <w:between w:val="nil"/>
        </w:pBdr>
        <w:spacing w:after="160" w:line="259" w:lineRule="auto"/>
        <w:rPr>
          <w:color w:val="92CDDC" w:themeColor="accent5" w:themeTint="99"/>
          <w:sz w:val="22"/>
          <w:szCs w:val="22"/>
        </w:rPr>
      </w:pPr>
    </w:p>
    <w:p w:rsidR="00A912E5" w:rsidRPr="00FF3BA4" w:rsidRDefault="00A912E5">
      <w:pPr>
        <w:pBdr>
          <w:top w:val="nil"/>
          <w:left w:val="nil"/>
          <w:bottom w:val="nil"/>
          <w:right w:val="nil"/>
          <w:between w:val="nil"/>
        </w:pBdr>
        <w:spacing w:after="160" w:line="259" w:lineRule="auto"/>
        <w:rPr>
          <w:color w:val="92CDDC" w:themeColor="accent5" w:themeTint="99"/>
          <w:sz w:val="22"/>
          <w:szCs w:val="22"/>
        </w:rPr>
      </w:pPr>
    </w:p>
    <w:sectPr w:rsidR="00A912E5" w:rsidRPr="00FF3BA4">
      <w:pgSz w:w="16838" w:h="11906"/>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37C8C"/>
    <w:rsid w:val="00044A20"/>
    <w:rsid w:val="000960E6"/>
    <w:rsid w:val="000F0043"/>
    <w:rsid w:val="0013026C"/>
    <w:rsid w:val="0013475C"/>
    <w:rsid w:val="001817D0"/>
    <w:rsid w:val="001A10AD"/>
    <w:rsid w:val="001D154D"/>
    <w:rsid w:val="002723D0"/>
    <w:rsid w:val="00293DEC"/>
    <w:rsid w:val="002E2B61"/>
    <w:rsid w:val="003459F0"/>
    <w:rsid w:val="003A7D6D"/>
    <w:rsid w:val="003F7FD5"/>
    <w:rsid w:val="00445C72"/>
    <w:rsid w:val="00467CA6"/>
    <w:rsid w:val="00476B4E"/>
    <w:rsid w:val="004B5556"/>
    <w:rsid w:val="004C2486"/>
    <w:rsid w:val="004F5A7B"/>
    <w:rsid w:val="0051701F"/>
    <w:rsid w:val="00561E4A"/>
    <w:rsid w:val="005B2A29"/>
    <w:rsid w:val="005C4875"/>
    <w:rsid w:val="005E6D3E"/>
    <w:rsid w:val="005F18E8"/>
    <w:rsid w:val="006B6B04"/>
    <w:rsid w:val="006F727A"/>
    <w:rsid w:val="007200F1"/>
    <w:rsid w:val="00724D11"/>
    <w:rsid w:val="00745790"/>
    <w:rsid w:val="007549F5"/>
    <w:rsid w:val="00784C97"/>
    <w:rsid w:val="00786EDE"/>
    <w:rsid w:val="007B195F"/>
    <w:rsid w:val="007C0A73"/>
    <w:rsid w:val="007E4091"/>
    <w:rsid w:val="00832BF9"/>
    <w:rsid w:val="0083345A"/>
    <w:rsid w:val="008B2D74"/>
    <w:rsid w:val="009024F1"/>
    <w:rsid w:val="009170A0"/>
    <w:rsid w:val="00965D27"/>
    <w:rsid w:val="009714E0"/>
    <w:rsid w:val="009A4814"/>
    <w:rsid w:val="00A904FB"/>
    <w:rsid w:val="00A912E5"/>
    <w:rsid w:val="00AF057F"/>
    <w:rsid w:val="00AF07DD"/>
    <w:rsid w:val="00AF3AF4"/>
    <w:rsid w:val="00AF668D"/>
    <w:rsid w:val="00B4001E"/>
    <w:rsid w:val="00BC0237"/>
    <w:rsid w:val="00BC1E75"/>
    <w:rsid w:val="00C4695B"/>
    <w:rsid w:val="00DB2AB4"/>
    <w:rsid w:val="00DB6E68"/>
    <w:rsid w:val="00DC0344"/>
    <w:rsid w:val="00DC6043"/>
    <w:rsid w:val="00EE7E7F"/>
    <w:rsid w:val="00F279CF"/>
    <w:rsid w:val="00F60114"/>
    <w:rsid w:val="00F92221"/>
    <w:rsid w:val="00FC6504"/>
    <w:rsid w:val="00FE72C1"/>
    <w:rsid w:val="00FF3B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7</Pages>
  <Words>1810</Words>
  <Characters>10864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18</cp:revision>
  <dcterms:created xsi:type="dcterms:W3CDTF">2021-10-04T11:38:00Z</dcterms:created>
  <dcterms:modified xsi:type="dcterms:W3CDTF">2022-05-30T09:42:00Z</dcterms:modified>
</cp:coreProperties>
</file>