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Default="005575B3">
      <w:pPr>
        <w:pBdr>
          <w:top w:val="nil"/>
          <w:left w:val="nil"/>
          <w:bottom w:val="nil"/>
          <w:right w:val="nil"/>
          <w:between w:val="nil"/>
        </w:pBdr>
        <w:spacing w:after="280"/>
        <w:jc w:val="both"/>
        <w:rPr>
          <w:rFonts w:ascii="Calibri" w:eastAsia="Calibri" w:hAnsi="Calibri" w:cs="Calibri"/>
          <w:color w:val="000000"/>
          <w:sz w:val="22"/>
          <w:szCs w:val="22"/>
        </w:rPr>
      </w:pPr>
      <w:bookmarkStart w:id="0" w:name="_GoBack"/>
      <w:bookmarkEnd w:id="0"/>
    </w:p>
    <w:p w:rsidR="005575B3" w:rsidRDefault="005575B3">
      <w:pPr>
        <w:pBdr>
          <w:top w:val="nil"/>
          <w:left w:val="nil"/>
          <w:bottom w:val="nil"/>
          <w:right w:val="nil"/>
          <w:between w:val="nil"/>
        </w:pBdr>
        <w:jc w:val="both"/>
        <w:rPr>
          <w:rFonts w:ascii="Calibri" w:eastAsia="Calibri" w:hAnsi="Calibri" w:cs="Calibri"/>
          <w:color w:val="000000"/>
          <w:sz w:val="22"/>
          <w:szCs w:val="22"/>
        </w:rPr>
      </w:pP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Faculty of Education </w:t>
      </w: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Courses in foreign languages</w:t>
      </w:r>
    </w:p>
    <w:p w:rsidR="005575B3" w:rsidRDefault="00F61D17">
      <w:pPr>
        <w:pBdr>
          <w:top w:val="nil"/>
          <w:left w:val="nil"/>
          <w:bottom w:val="nil"/>
          <w:right w:val="nil"/>
          <w:between w:val="nil"/>
        </w:pBdr>
        <w:ind w:left="4956"/>
        <w:jc w:val="both"/>
        <w:rPr>
          <w:rFonts w:ascii="Calibri" w:eastAsia="Calibri" w:hAnsi="Calibri" w:cs="Calibri"/>
          <w:color w:val="000000"/>
          <w:sz w:val="22"/>
          <w:szCs w:val="22"/>
        </w:rPr>
      </w:pPr>
      <w:r>
        <w:rPr>
          <w:rFonts w:ascii="Calibri" w:eastAsia="Calibri" w:hAnsi="Calibri" w:cs="Calibri"/>
          <w:b/>
          <w:color w:val="000000"/>
          <w:sz w:val="22"/>
          <w:szCs w:val="22"/>
        </w:rPr>
        <w:t xml:space="preserve">      Summer semester 20</w:t>
      </w:r>
      <w:r>
        <w:rPr>
          <w:rFonts w:ascii="Calibri" w:eastAsia="Calibri" w:hAnsi="Calibri" w:cs="Calibri"/>
          <w:b/>
          <w:sz w:val="22"/>
          <w:szCs w:val="22"/>
        </w:rPr>
        <w:t>22/23</w:t>
      </w:r>
    </w:p>
    <w:p w:rsidR="005575B3" w:rsidRDefault="005575B3">
      <w:pPr>
        <w:pBdr>
          <w:top w:val="nil"/>
          <w:left w:val="nil"/>
          <w:bottom w:val="nil"/>
          <w:right w:val="nil"/>
          <w:between w:val="nil"/>
        </w:pBdr>
        <w:jc w:val="both"/>
        <w:rPr>
          <w:rFonts w:ascii="Calibri" w:eastAsia="Calibri" w:hAnsi="Calibri" w:cs="Calibri"/>
          <w:color w:val="000000"/>
          <w:sz w:val="22"/>
          <w:szCs w:val="22"/>
        </w:rPr>
      </w:pPr>
    </w:p>
    <w:tbl>
      <w:tblPr>
        <w:tblStyle w:val="a"/>
        <w:tblW w:w="144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740"/>
        <w:gridCol w:w="3119"/>
        <w:gridCol w:w="7087"/>
        <w:gridCol w:w="709"/>
        <w:gridCol w:w="1134"/>
      </w:tblGrid>
      <w:tr w:rsidR="005575B3">
        <w:trPr>
          <w:trHeight w:val="750"/>
        </w:trPr>
        <w:tc>
          <w:tcPr>
            <w:tcW w:w="630" w:type="dxa"/>
          </w:tcPr>
          <w:p w:rsidR="005575B3" w:rsidRDefault="00F61D17">
            <w:pPr>
              <w:keepNext/>
              <w:pBdr>
                <w:top w:val="nil"/>
                <w:left w:val="nil"/>
                <w:bottom w:val="nil"/>
                <w:right w:val="nil"/>
                <w:between w:val="nil"/>
              </w:pBdr>
              <w:spacing w:before="240" w:after="60"/>
              <w:jc w:val="both"/>
              <w:rPr>
                <w:rFonts w:ascii="Calibri" w:eastAsia="Calibri" w:hAnsi="Calibri" w:cs="Calibri"/>
                <w:color w:val="000000"/>
                <w:sz w:val="22"/>
                <w:szCs w:val="22"/>
              </w:rPr>
            </w:pPr>
            <w:proofErr w:type="spellStart"/>
            <w:r>
              <w:rPr>
                <w:rFonts w:ascii="Calibri" w:eastAsia="Calibri" w:hAnsi="Calibri" w:cs="Calibri"/>
                <w:sz w:val="22"/>
                <w:szCs w:val="22"/>
              </w:rPr>
              <w:t>Lp</w:t>
            </w:r>
            <w:proofErr w:type="spellEnd"/>
            <w:r>
              <w:rPr>
                <w:rFonts w:ascii="Calibri" w:eastAsia="Calibri" w:hAnsi="Calibri" w:cs="Calibri"/>
                <w:sz w:val="22"/>
                <w:szCs w:val="22"/>
              </w:rPr>
              <w:t>.</w:t>
            </w:r>
          </w:p>
        </w:tc>
        <w:tc>
          <w:tcPr>
            <w:tcW w:w="1740"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USOS Code </w:t>
            </w:r>
          </w:p>
        </w:tc>
        <w:tc>
          <w:tcPr>
            <w:tcW w:w="311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Course’s title/ Lecturer</w:t>
            </w:r>
          </w:p>
        </w:tc>
        <w:tc>
          <w:tcPr>
            <w:tcW w:w="7087"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Brief description</w:t>
            </w:r>
          </w:p>
        </w:tc>
        <w:tc>
          <w:tcPr>
            <w:tcW w:w="70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ECTS</w:t>
            </w:r>
          </w:p>
        </w:tc>
        <w:tc>
          <w:tcPr>
            <w:tcW w:w="1134"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English level</w:t>
            </w:r>
          </w:p>
        </w:tc>
      </w:tr>
      <w:tr w:rsidR="005575B3">
        <w:tc>
          <w:tcPr>
            <w:tcW w:w="630" w:type="dxa"/>
          </w:tcPr>
          <w:p w:rsidR="005575B3" w:rsidRDefault="00F61D17">
            <w:pPr>
              <w:pBdr>
                <w:top w:val="nil"/>
                <w:left w:val="nil"/>
                <w:bottom w:val="nil"/>
                <w:right w:val="nil"/>
                <w:between w:val="nil"/>
              </w:pBdr>
              <w:ind w:right="-5"/>
              <w:jc w:val="both"/>
              <w:rPr>
                <w:rFonts w:ascii="Calibri" w:eastAsia="Calibri" w:hAnsi="Calibri" w:cs="Calibri"/>
                <w:color w:val="000000"/>
                <w:sz w:val="22"/>
                <w:szCs w:val="22"/>
              </w:rPr>
            </w:pPr>
            <w:r>
              <w:rPr>
                <w:rFonts w:ascii="Calibri" w:eastAsia="Calibri" w:hAnsi="Calibri" w:cs="Calibri"/>
                <w:sz w:val="22"/>
                <w:szCs w:val="22"/>
              </w:rPr>
              <w:t>1.</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2300-GPTE-M3-AR</w:t>
            </w:r>
          </w:p>
        </w:tc>
        <w:tc>
          <w:tcPr>
            <w:tcW w:w="3119" w:type="dxa"/>
          </w:tcPr>
          <w:p w:rsidR="005575B3" w:rsidRDefault="00F61D17">
            <w:pPr>
              <w:jc w:val="both"/>
              <w:rPr>
                <w:b/>
                <w:sz w:val="22"/>
                <w:szCs w:val="22"/>
              </w:rPr>
            </w:pPr>
            <w:r>
              <w:rPr>
                <w:b/>
                <w:sz w:val="22"/>
                <w:szCs w:val="22"/>
              </w:rPr>
              <w:t xml:space="preserve"> Action Research</w:t>
            </w:r>
          </w:p>
          <w:p w:rsidR="005575B3" w:rsidRDefault="005575B3">
            <w:pPr>
              <w:jc w:val="both"/>
              <w:rPr>
                <w:b/>
                <w:sz w:val="22"/>
                <w:szCs w:val="22"/>
              </w:rPr>
            </w:pPr>
          </w:p>
          <w:p w:rsidR="005575B3" w:rsidRDefault="00F61D17">
            <w:pPr>
              <w:spacing w:line="259" w:lineRule="auto"/>
            </w:pPr>
            <w:proofErr w:type="spellStart"/>
            <w:r>
              <w:t>dr</w:t>
            </w:r>
            <w:proofErr w:type="spellEnd"/>
            <w:r>
              <w:t xml:space="preserve"> Katarzyna Brzosko-Barratt</w:t>
            </w:r>
          </w:p>
          <w:p w:rsidR="005575B3" w:rsidRDefault="005575B3">
            <w:pPr>
              <w:jc w:val="both"/>
              <w:rPr>
                <w:b/>
                <w:sz w:val="22"/>
                <w:szCs w:val="22"/>
              </w:rPr>
            </w:pPr>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Participants in this course will engage in exploration of action research in theory and practice in relation to language teaching. The course will expose students to  a variety of approaches to participatory research (PR). Student teachers will be encourag</w:t>
            </w:r>
            <w:r>
              <w:rPr>
                <w:rFonts w:ascii="Calibri" w:eastAsia="Calibri" w:hAnsi="Calibri" w:cs="Calibri"/>
                <w:sz w:val="22"/>
                <w:szCs w:val="22"/>
              </w:rPr>
              <w:t>ed to make connections between their understandings of research of early language teaching and their own emergence as practitioner researchers in educational settings. The aim of the course is to prepare participants to view themselves as knowledge produce</w:t>
            </w:r>
            <w:r>
              <w:rPr>
                <w:rFonts w:ascii="Calibri" w:eastAsia="Calibri" w:hAnsi="Calibri" w:cs="Calibri"/>
                <w:sz w:val="22"/>
                <w:szCs w:val="22"/>
              </w:rPr>
              <w:t xml:space="preserve">rs who are able to learn about their teaching and their students by studying their own experiences. </w:t>
            </w:r>
          </w:p>
          <w:p w:rsidR="005575B3" w:rsidRDefault="00F61D17">
            <w:pPr>
              <w:jc w:val="both"/>
              <w:rPr>
                <w:rFonts w:ascii="Calibri" w:eastAsia="Calibri" w:hAnsi="Calibri" w:cs="Calibri"/>
                <w:sz w:val="22"/>
                <w:szCs w:val="22"/>
              </w:rPr>
            </w:pPr>
            <w:r>
              <w:rPr>
                <w:rFonts w:ascii="Calibri" w:eastAsia="Calibri" w:hAnsi="Calibri" w:cs="Calibri"/>
                <w:sz w:val="22"/>
                <w:szCs w:val="22"/>
              </w:rPr>
              <w:t>During the course, student teachers will have the opportunity to identify an education problem/puzzle in their teaching practice, make a plan, gather and a</w:t>
            </w:r>
            <w:r>
              <w:rPr>
                <w:rFonts w:ascii="Calibri" w:eastAsia="Calibri" w:hAnsi="Calibri" w:cs="Calibri"/>
                <w:sz w:val="22"/>
                <w:szCs w:val="22"/>
              </w:rPr>
              <w:t>nalyze data as they carry it out, report results, and develop implications for their future teaching.</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2.</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2300-GPTE-M1-AEYL</w:t>
            </w:r>
          </w:p>
        </w:tc>
        <w:tc>
          <w:tcPr>
            <w:tcW w:w="3119" w:type="dxa"/>
          </w:tcPr>
          <w:p w:rsidR="005575B3" w:rsidRDefault="00F61D17">
            <w:pPr>
              <w:spacing w:line="259" w:lineRule="auto"/>
              <w:rPr>
                <w:b/>
                <w:sz w:val="24"/>
                <w:szCs w:val="24"/>
              </w:rPr>
            </w:pPr>
            <w:r>
              <w:rPr>
                <w:b/>
                <w:sz w:val="24"/>
                <w:szCs w:val="24"/>
              </w:rPr>
              <w:t>Assessing and Evaluating YL Language Teaching and Learning</w:t>
            </w:r>
          </w:p>
          <w:p w:rsidR="005575B3" w:rsidRDefault="00F61D17">
            <w:pPr>
              <w:spacing w:line="259" w:lineRule="auto"/>
            </w:pPr>
            <w:proofErr w:type="spellStart"/>
            <w:r>
              <w:t>mgr</w:t>
            </w:r>
            <w:proofErr w:type="spellEnd"/>
            <w:r>
              <w:t xml:space="preserve"> Monika Galbarczyk</w:t>
            </w:r>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This course aims to </w:t>
            </w:r>
            <w:proofErr w:type="spellStart"/>
            <w:r>
              <w:rPr>
                <w:rFonts w:ascii="Calibri" w:eastAsia="Calibri" w:hAnsi="Calibri" w:cs="Calibri"/>
                <w:sz w:val="22"/>
                <w:szCs w:val="22"/>
              </w:rPr>
              <w:t>familiarise</w:t>
            </w:r>
            <w:proofErr w:type="spellEnd"/>
            <w:r>
              <w:rPr>
                <w:rFonts w:ascii="Calibri" w:eastAsia="Calibri" w:hAnsi="Calibri" w:cs="Calibri"/>
                <w:sz w:val="22"/>
                <w:szCs w:val="22"/>
              </w:rPr>
              <w:t xml:space="preserve"> participants with the basic concepts, issues and methods of language assessment and evaluation of learning in young learners’ contexts.</w:t>
            </w:r>
          </w:p>
          <w:p w:rsidR="005575B3" w:rsidRDefault="00F61D17">
            <w:pPr>
              <w:jc w:val="both"/>
              <w:rPr>
                <w:rFonts w:ascii="Calibri" w:eastAsia="Calibri" w:hAnsi="Calibri" w:cs="Calibri"/>
                <w:sz w:val="22"/>
                <w:szCs w:val="22"/>
              </w:rPr>
            </w:pPr>
            <w:r>
              <w:rPr>
                <w:rFonts w:ascii="Calibri" w:eastAsia="Calibri" w:hAnsi="Calibri" w:cs="Calibri"/>
                <w:sz w:val="22"/>
                <w:szCs w:val="22"/>
              </w:rPr>
              <w:t>The classes will explore theoretical frameworks relevant to assessment in foreign langua</w:t>
            </w:r>
            <w:r>
              <w:rPr>
                <w:rFonts w:ascii="Calibri" w:eastAsia="Calibri" w:hAnsi="Calibri" w:cs="Calibri"/>
                <w:sz w:val="22"/>
                <w:szCs w:val="22"/>
              </w:rPr>
              <w:t>ge and bilingual contexts as well as offer opportunities for evaluating practical models and designing own assessment materials.</w:t>
            </w:r>
          </w:p>
          <w:p w:rsidR="005575B3" w:rsidRDefault="00F61D17">
            <w:pPr>
              <w:jc w:val="both"/>
              <w:rPr>
                <w:rFonts w:ascii="Calibri" w:eastAsia="Calibri" w:hAnsi="Calibri" w:cs="Calibri"/>
                <w:sz w:val="22"/>
                <w:szCs w:val="22"/>
              </w:rPr>
            </w:pPr>
            <w:r>
              <w:rPr>
                <w:rFonts w:ascii="Calibri" w:eastAsia="Calibri" w:hAnsi="Calibri" w:cs="Calibri"/>
                <w:sz w:val="22"/>
                <w:szCs w:val="22"/>
              </w:rPr>
              <w:t>The course is delivered in English only.</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3..</w:t>
            </w:r>
            <w:r>
              <w:rPr>
                <w:rFonts w:ascii="Calibri" w:eastAsia="Calibri" w:hAnsi="Calibri" w:cs="Calibri"/>
                <w:sz w:val="22"/>
                <w:szCs w:val="22"/>
              </w:rPr>
              <w:lastRenderedPageBreak/>
              <w:t>.3.</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lastRenderedPageBreak/>
              <w:t>2300-GPTE-CM4-B/M</w:t>
            </w:r>
          </w:p>
        </w:tc>
        <w:tc>
          <w:tcPr>
            <w:tcW w:w="3119" w:type="dxa"/>
          </w:tcPr>
          <w:p w:rsidR="005575B3" w:rsidRDefault="00F61D17">
            <w:pPr>
              <w:jc w:val="both"/>
              <w:rPr>
                <w:sz w:val="24"/>
                <w:szCs w:val="24"/>
                <w:highlight w:val="white"/>
              </w:rPr>
            </w:pPr>
            <w:r>
              <w:rPr>
                <w:b/>
                <w:sz w:val="24"/>
                <w:szCs w:val="24"/>
                <w:highlight w:val="white"/>
              </w:rPr>
              <w:t>Bilingualism/Multiculturalism: Critical Issues and practices</w:t>
            </w:r>
          </w:p>
          <w:p w:rsidR="005575B3" w:rsidRDefault="00F61D17">
            <w:pPr>
              <w:spacing w:line="259" w:lineRule="auto"/>
              <w:rPr>
                <w:sz w:val="24"/>
                <w:szCs w:val="24"/>
              </w:rPr>
            </w:pPr>
            <w:proofErr w:type="spellStart"/>
            <w:r>
              <w:rPr>
                <w:sz w:val="22"/>
                <w:szCs w:val="22"/>
              </w:rPr>
              <w:lastRenderedPageBreak/>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lastRenderedPageBreak/>
              <w:t xml:space="preserve">The course is meant as an introduction to the rapidly developing field of bilingualism, multilingualism and multiculturalism studies. It combines four </w:t>
            </w:r>
            <w:r>
              <w:rPr>
                <w:rFonts w:ascii="Calibri" w:eastAsia="Calibri" w:hAnsi="Calibri" w:cs="Calibri"/>
                <w:sz w:val="22"/>
                <w:szCs w:val="22"/>
              </w:rPr>
              <w:lastRenderedPageBreak/>
              <w:t>perspectives: socioling</w:t>
            </w:r>
            <w:r>
              <w:rPr>
                <w:rFonts w:ascii="Calibri" w:eastAsia="Calibri" w:hAnsi="Calibri" w:cs="Calibri"/>
                <w:sz w:val="22"/>
                <w:szCs w:val="22"/>
              </w:rPr>
              <w:t xml:space="preserve">uistic, linguistic, psycholinguistic and educational, so the course is divided into four main parts.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1 starts with defining the phenomena of societal bilingualism/multilingualism, a bilingual/multilingual speaker, and attitudes towards bilingualism/ </w:t>
            </w:r>
            <w:r>
              <w:rPr>
                <w:rFonts w:ascii="Calibri" w:eastAsia="Calibri" w:hAnsi="Calibri" w:cs="Calibri"/>
                <w:sz w:val="22"/>
                <w:szCs w:val="22"/>
              </w:rPr>
              <w:t xml:space="preserve">multilingualism.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2 investigates the linguistic manifestations of bilingual/multilingual language acquisition and the phenomena of </w:t>
            </w:r>
            <w:proofErr w:type="spellStart"/>
            <w:r>
              <w:rPr>
                <w:rFonts w:ascii="Calibri" w:eastAsia="Calibri" w:hAnsi="Calibri" w:cs="Calibri"/>
                <w:sz w:val="22"/>
                <w:szCs w:val="22"/>
              </w:rPr>
              <w:t>crosslinguistic</w:t>
            </w:r>
            <w:proofErr w:type="spellEnd"/>
            <w:r>
              <w:rPr>
                <w:rFonts w:ascii="Calibri" w:eastAsia="Calibri" w:hAnsi="Calibri" w:cs="Calibri"/>
                <w:sz w:val="22"/>
                <w:szCs w:val="22"/>
              </w:rPr>
              <w:t xml:space="preserve"> influences.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3 dwells on the psycholinguistic issue of cross-language competition in the bilingual </w:t>
            </w:r>
            <w:r>
              <w:rPr>
                <w:rFonts w:ascii="Calibri" w:eastAsia="Calibri" w:hAnsi="Calibri" w:cs="Calibri"/>
                <w:sz w:val="22"/>
                <w:szCs w:val="22"/>
              </w:rPr>
              <w:t xml:space="preserve">mind.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4 presents the educational perspective on the issues of </w:t>
            </w:r>
            <w:proofErr w:type="spellStart"/>
            <w:r>
              <w:rPr>
                <w:rFonts w:ascii="Calibri" w:eastAsia="Calibri" w:hAnsi="Calibri" w:cs="Calibri"/>
                <w:sz w:val="22"/>
                <w:szCs w:val="22"/>
              </w:rPr>
              <w:t>plurilingual</w:t>
            </w:r>
            <w:proofErr w:type="spellEnd"/>
            <w:r>
              <w:rPr>
                <w:rFonts w:ascii="Calibri" w:eastAsia="Calibri" w:hAnsi="Calibri" w:cs="Calibri"/>
                <w:sz w:val="22"/>
                <w:szCs w:val="22"/>
              </w:rPr>
              <w:t xml:space="preserve"> language teaching and intercultural competence.</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4..</w:t>
            </w:r>
          </w:p>
        </w:tc>
        <w:tc>
          <w:tcPr>
            <w:tcW w:w="1740" w:type="dxa"/>
          </w:tcPr>
          <w:p w:rsidR="005575B3" w:rsidRDefault="00F61D17">
            <w:pPr>
              <w:spacing w:line="259" w:lineRule="auto"/>
            </w:pPr>
            <w:r>
              <w:t>2300-GPTE-M5-GE-CS</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Default="00F61D17">
            <w:pPr>
              <w:spacing w:line="259" w:lineRule="auto"/>
              <w:rPr>
                <w:b/>
                <w:sz w:val="24"/>
                <w:szCs w:val="24"/>
              </w:rPr>
            </w:pPr>
            <w:r>
              <w:rPr>
                <w:b/>
                <w:sz w:val="24"/>
                <w:szCs w:val="24"/>
              </w:rPr>
              <w:t>Curriculum studies</w:t>
            </w:r>
          </w:p>
          <w:p w:rsidR="005575B3" w:rsidRDefault="00F61D17">
            <w:pPr>
              <w:spacing w:line="259" w:lineRule="auto"/>
              <w:rPr>
                <w:sz w:val="18"/>
                <w:szCs w:val="18"/>
              </w:rPr>
            </w:pPr>
            <w:proofErr w:type="spellStart"/>
            <w:r>
              <w:rPr>
                <w:sz w:val="22"/>
                <w:szCs w:val="22"/>
              </w:rPr>
              <w:t>mgr</w:t>
            </w:r>
            <w:proofErr w:type="spellEnd"/>
            <w:r>
              <w:rPr>
                <w:sz w:val="22"/>
                <w:szCs w:val="22"/>
              </w:rPr>
              <w:t xml:space="preserve"> Joanna </w:t>
            </w:r>
            <w:proofErr w:type="spellStart"/>
            <w:r>
              <w:rPr>
                <w:sz w:val="22"/>
                <w:szCs w:val="22"/>
              </w:rPr>
              <w:t>Płatkowska-Nęcka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Course Aims: To gain insight into the concepts of curriculum and develop an understanding of the issues that impact upon educational practices</w:t>
            </w:r>
          </w:p>
          <w:p w:rsidR="005575B3" w:rsidRDefault="00F61D17">
            <w:pPr>
              <w:jc w:val="both"/>
              <w:rPr>
                <w:rFonts w:ascii="Calibri" w:eastAsia="Calibri" w:hAnsi="Calibri" w:cs="Calibri"/>
                <w:sz w:val="22"/>
                <w:szCs w:val="22"/>
              </w:rPr>
            </w:pPr>
            <w:r>
              <w:rPr>
                <w:rFonts w:ascii="Calibri" w:eastAsia="Calibri" w:hAnsi="Calibri" w:cs="Calibri"/>
                <w:sz w:val="22"/>
                <w:szCs w:val="22"/>
              </w:rPr>
              <w:t>To analyze and initiate developing curriculum, and associated instructional practices and organizational structur</w:t>
            </w:r>
            <w:r>
              <w:rPr>
                <w:rFonts w:ascii="Calibri" w:eastAsia="Calibri" w:hAnsi="Calibri" w:cs="Calibri"/>
                <w:sz w:val="22"/>
                <w:szCs w:val="22"/>
              </w:rPr>
              <w:t>es, that will help eliminate race, sex, and class barriers to learning</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5...</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2300-GPTE-M5-GE-DP</w:t>
            </w:r>
          </w:p>
        </w:tc>
        <w:tc>
          <w:tcPr>
            <w:tcW w:w="3119" w:type="dxa"/>
          </w:tcPr>
          <w:p w:rsidR="005575B3" w:rsidRDefault="00F61D17">
            <w:pPr>
              <w:spacing w:line="259" w:lineRule="auto"/>
              <w:rPr>
                <w:b/>
                <w:sz w:val="24"/>
                <w:szCs w:val="24"/>
              </w:rPr>
            </w:pPr>
            <w:r>
              <w:rPr>
                <w:b/>
                <w:sz w:val="24"/>
                <w:szCs w:val="24"/>
              </w:rPr>
              <w:t>Developing   portfolio</w:t>
            </w:r>
          </w:p>
          <w:p w:rsidR="005575B3" w:rsidRDefault="00F61D17">
            <w:pPr>
              <w:spacing w:line="259" w:lineRule="auto"/>
              <w:rPr>
                <w:b/>
                <w:sz w:val="26"/>
                <w:szCs w:val="26"/>
              </w:rPr>
            </w:pPr>
            <w:proofErr w:type="spellStart"/>
            <w:r>
              <w:rPr>
                <w:sz w:val="22"/>
                <w:szCs w:val="22"/>
              </w:rPr>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right="-5" w:hanging="720"/>
              <w:jc w:val="both"/>
              <w:rPr>
                <w:rFonts w:ascii="Calibri" w:eastAsia="Calibri" w:hAnsi="Calibri" w:cs="Calibri"/>
                <w:color w:val="000000"/>
                <w:sz w:val="22"/>
                <w:szCs w:val="22"/>
              </w:rPr>
            </w:pPr>
            <w:r>
              <w:rPr>
                <w:rFonts w:ascii="Calibri" w:eastAsia="Calibri" w:hAnsi="Calibri" w:cs="Calibri"/>
                <w:sz w:val="22"/>
                <w:szCs w:val="22"/>
              </w:rPr>
              <w:t>6.</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2300-KJO-52/ECH</w:t>
            </w:r>
          </w:p>
        </w:tc>
        <w:tc>
          <w:tcPr>
            <w:tcW w:w="3119" w:type="dxa"/>
          </w:tcPr>
          <w:p w:rsidR="005575B3" w:rsidRDefault="00F61D17">
            <w:pPr>
              <w:spacing w:line="259" w:lineRule="auto"/>
              <w:rPr>
                <w:b/>
                <w:sz w:val="24"/>
                <w:szCs w:val="24"/>
              </w:rPr>
            </w:pPr>
            <w:r>
              <w:rPr>
                <w:b/>
                <w:sz w:val="24"/>
                <w:szCs w:val="24"/>
              </w:rPr>
              <w:t xml:space="preserve">Early childhood education and care in European countries - what we can learn from our </w:t>
            </w:r>
            <w:proofErr w:type="spellStart"/>
            <w:r>
              <w:rPr>
                <w:b/>
                <w:sz w:val="24"/>
                <w:szCs w:val="24"/>
              </w:rPr>
              <w:t>neighbours</w:t>
            </w:r>
            <w:proofErr w:type="spellEnd"/>
            <w:r>
              <w:rPr>
                <w:b/>
                <w:sz w:val="24"/>
                <w:szCs w:val="24"/>
              </w:rPr>
              <w:t>?</w:t>
            </w:r>
          </w:p>
          <w:p w:rsidR="005575B3" w:rsidRDefault="00F61D17">
            <w:pPr>
              <w:spacing w:line="259" w:lineRule="auto"/>
            </w:pPr>
            <w:proofErr w:type="spellStart"/>
            <w:r>
              <w:t>dr</w:t>
            </w:r>
            <w:proofErr w:type="spellEnd"/>
            <w:r>
              <w:t xml:space="preserve"> Olga </w:t>
            </w:r>
            <w:proofErr w:type="spellStart"/>
            <w:r>
              <w:t>Wysłowska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The aim of this course is to introduce students to the structure of the ECEC sector in selected European countries (Germany, Greece, Finland, Italy, the Netherlands, Poland, </w:t>
            </w:r>
            <w:proofErr w:type="spellStart"/>
            <w:r>
              <w:rPr>
                <w:rFonts w:ascii="Calibri" w:eastAsia="Calibri" w:hAnsi="Calibri" w:cs="Calibri"/>
                <w:sz w:val="22"/>
                <w:szCs w:val="22"/>
              </w:rPr>
              <w:t>Portugale</w:t>
            </w:r>
            <w:proofErr w:type="spellEnd"/>
            <w:r>
              <w:rPr>
                <w:rFonts w:ascii="Calibri" w:eastAsia="Calibri" w:hAnsi="Calibri" w:cs="Calibri"/>
                <w:sz w:val="22"/>
                <w:szCs w:val="22"/>
              </w:rPr>
              <w:t xml:space="preserve"> and Ukraine).</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7.</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2300-GPTE-M5-GE-EE</w:t>
            </w:r>
          </w:p>
        </w:tc>
        <w:tc>
          <w:tcPr>
            <w:tcW w:w="3119" w:type="dxa"/>
          </w:tcPr>
          <w:p w:rsidR="005575B3" w:rsidRDefault="00F61D17">
            <w:pPr>
              <w:spacing w:line="259" w:lineRule="auto"/>
              <w:rPr>
                <w:b/>
                <w:sz w:val="24"/>
                <w:szCs w:val="24"/>
              </w:rPr>
            </w:pPr>
            <w:r>
              <w:rPr>
                <w:b/>
                <w:sz w:val="24"/>
                <w:szCs w:val="24"/>
              </w:rPr>
              <w:t>Early education</w:t>
            </w:r>
          </w:p>
          <w:p w:rsidR="005575B3" w:rsidRDefault="00F61D17">
            <w:pPr>
              <w:spacing w:line="259" w:lineRule="auto"/>
              <w:rPr>
                <w:sz w:val="24"/>
                <w:szCs w:val="24"/>
              </w:rPr>
            </w:pPr>
            <w:proofErr w:type="spellStart"/>
            <w:r>
              <w:rPr>
                <w:sz w:val="24"/>
                <w:szCs w:val="24"/>
              </w:rPr>
              <w:t>dr</w:t>
            </w:r>
            <w:proofErr w:type="spellEnd"/>
            <w:r>
              <w:rPr>
                <w:sz w:val="24"/>
                <w:szCs w:val="24"/>
              </w:rPr>
              <w:t xml:space="preserve"> hab. Małgorzata Żytko, </w:t>
            </w:r>
            <w:proofErr w:type="spellStart"/>
            <w:r>
              <w:rPr>
                <w:sz w:val="24"/>
                <w:szCs w:val="24"/>
              </w:rPr>
              <w:t>prof.UW</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8.</w:t>
            </w:r>
          </w:p>
        </w:tc>
        <w:tc>
          <w:tcPr>
            <w:tcW w:w="1740" w:type="dxa"/>
          </w:tcPr>
          <w:p w:rsidR="005575B3" w:rsidRDefault="00F61D17">
            <w:pPr>
              <w:spacing w:line="259" w:lineRule="auto"/>
              <w:rPr>
                <w:sz w:val="22"/>
                <w:szCs w:val="22"/>
              </w:rPr>
            </w:pPr>
            <w:r>
              <w:rPr>
                <w:sz w:val="22"/>
                <w:szCs w:val="22"/>
              </w:rPr>
              <w:t>2300-J-DWNJA-WT</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Default="00F61D17">
            <w:pPr>
              <w:spacing w:line="259" w:lineRule="auto"/>
              <w:rPr>
                <w:b/>
                <w:color w:val="222222"/>
                <w:sz w:val="22"/>
                <w:szCs w:val="22"/>
                <w:highlight w:val="white"/>
              </w:rPr>
            </w:pPr>
            <w:r>
              <w:rPr>
                <w:b/>
                <w:color w:val="222222"/>
                <w:sz w:val="24"/>
                <w:szCs w:val="24"/>
                <w:highlight w:val="white"/>
              </w:rPr>
              <w:t>English Language as a source of classroom interaction and teacher development</w:t>
            </w:r>
            <w:r>
              <w:rPr>
                <w:b/>
                <w:color w:val="222222"/>
                <w:sz w:val="22"/>
                <w:szCs w:val="22"/>
                <w:highlight w:val="white"/>
              </w:rPr>
              <w:t xml:space="preserve">/ </w:t>
            </w:r>
            <w:proofErr w:type="spellStart"/>
            <w:r>
              <w:rPr>
                <w:b/>
                <w:color w:val="222222"/>
                <w:highlight w:val="white"/>
              </w:rPr>
              <w:t>Język</w:t>
            </w:r>
            <w:proofErr w:type="spellEnd"/>
            <w:r>
              <w:rPr>
                <w:b/>
                <w:color w:val="222222"/>
                <w:highlight w:val="white"/>
              </w:rPr>
              <w:t xml:space="preserve"> </w:t>
            </w:r>
            <w:proofErr w:type="spellStart"/>
            <w:r>
              <w:rPr>
                <w:b/>
                <w:color w:val="222222"/>
                <w:sz w:val="22"/>
                <w:szCs w:val="22"/>
                <w:highlight w:val="white"/>
              </w:rPr>
              <w:t>jako</w:t>
            </w:r>
            <w:proofErr w:type="spellEnd"/>
            <w:r>
              <w:rPr>
                <w:b/>
                <w:color w:val="222222"/>
                <w:sz w:val="22"/>
                <w:szCs w:val="22"/>
                <w:highlight w:val="white"/>
              </w:rPr>
              <w:t xml:space="preserve"> </w:t>
            </w:r>
            <w:proofErr w:type="spellStart"/>
            <w:r>
              <w:rPr>
                <w:b/>
                <w:color w:val="222222"/>
                <w:sz w:val="22"/>
                <w:szCs w:val="22"/>
                <w:highlight w:val="white"/>
              </w:rPr>
              <w:t>źródło</w:t>
            </w:r>
            <w:proofErr w:type="spellEnd"/>
            <w:r>
              <w:rPr>
                <w:b/>
                <w:color w:val="222222"/>
                <w:sz w:val="22"/>
                <w:szCs w:val="22"/>
                <w:highlight w:val="white"/>
              </w:rPr>
              <w:t xml:space="preserve"> </w:t>
            </w:r>
            <w:proofErr w:type="spellStart"/>
            <w:r>
              <w:rPr>
                <w:b/>
                <w:color w:val="222222"/>
                <w:sz w:val="22"/>
                <w:szCs w:val="22"/>
                <w:highlight w:val="white"/>
              </w:rPr>
              <w:t>interakcji</w:t>
            </w:r>
            <w:proofErr w:type="spellEnd"/>
            <w:r>
              <w:rPr>
                <w:b/>
                <w:color w:val="222222"/>
                <w:sz w:val="22"/>
                <w:szCs w:val="22"/>
                <w:highlight w:val="white"/>
              </w:rPr>
              <w:t xml:space="preserve"> w </w:t>
            </w:r>
            <w:proofErr w:type="spellStart"/>
            <w:r>
              <w:rPr>
                <w:b/>
                <w:color w:val="222222"/>
                <w:sz w:val="22"/>
                <w:szCs w:val="22"/>
                <w:highlight w:val="white"/>
              </w:rPr>
              <w:t>klasie</w:t>
            </w:r>
            <w:proofErr w:type="spellEnd"/>
            <w:r>
              <w:rPr>
                <w:b/>
                <w:color w:val="222222"/>
                <w:sz w:val="22"/>
                <w:szCs w:val="22"/>
                <w:highlight w:val="white"/>
              </w:rPr>
              <w:t xml:space="preserve"> </w:t>
            </w:r>
            <w:proofErr w:type="spellStart"/>
            <w:r>
              <w:rPr>
                <w:b/>
                <w:color w:val="222222"/>
                <w:sz w:val="22"/>
                <w:szCs w:val="22"/>
                <w:highlight w:val="white"/>
              </w:rPr>
              <w:t>i</w:t>
            </w:r>
            <w:proofErr w:type="spellEnd"/>
            <w:r>
              <w:rPr>
                <w:b/>
                <w:color w:val="222222"/>
                <w:sz w:val="22"/>
                <w:szCs w:val="22"/>
                <w:highlight w:val="white"/>
              </w:rPr>
              <w:t xml:space="preserve"> </w:t>
            </w:r>
            <w:proofErr w:type="spellStart"/>
            <w:r>
              <w:rPr>
                <w:b/>
                <w:color w:val="222222"/>
                <w:sz w:val="22"/>
                <w:szCs w:val="22"/>
                <w:highlight w:val="white"/>
              </w:rPr>
              <w:t>rozwoju</w:t>
            </w:r>
            <w:proofErr w:type="spellEnd"/>
            <w:r>
              <w:rPr>
                <w:b/>
                <w:color w:val="222222"/>
                <w:sz w:val="22"/>
                <w:szCs w:val="22"/>
                <w:highlight w:val="white"/>
              </w:rPr>
              <w:t xml:space="preserve"> </w:t>
            </w:r>
            <w:proofErr w:type="spellStart"/>
            <w:r>
              <w:rPr>
                <w:b/>
                <w:color w:val="222222"/>
                <w:sz w:val="22"/>
                <w:szCs w:val="22"/>
                <w:highlight w:val="white"/>
              </w:rPr>
              <w:t>zawodowego</w:t>
            </w:r>
            <w:proofErr w:type="spellEnd"/>
            <w:r>
              <w:rPr>
                <w:b/>
                <w:color w:val="222222"/>
                <w:sz w:val="22"/>
                <w:szCs w:val="22"/>
                <w:highlight w:val="white"/>
              </w:rPr>
              <w:t xml:space="preserve"> </w:t>
            </w:r>
            <w:proofErr w:type="spellStart"/>
            <w:r>
              <w:rPr>
                <w:b/>
                <w:color w:val="222222"/>
                <w:sz w:val="22"/>
                <w:szCs w:val="22"/>
                <w:highlight w:val="white"/>
              </w:rPr>
              <w:t>nauczyciela</w:t>
            </w:r>
            <w:proofErr w:type="spellEnd"/>
          </w:p>
          <w:p w:rsidR="005575B3" w:rsidRDefault="00F61D17">
            <w:pPr>
              <w:spacing w:line="259" w:lineRule="auto"/>
              <w:rPr>
                <w:b/>
                <w:color w:val="222222"/>
                <w:sz w:val="24"/>
                <w:szCs w:val="24"/>
                <w:highlight w:val="white"/>
              </w:rPr>
            </w:pPr>
            <w:proofErr w:type="spellStart"/>
            <w:r>
              <w:t>mgr</w:t>
            </w:r>
            <w:proofErr w:type="spellEnd"/>
            <w:r>
              <w:t xml:space="preserve"> Małgorzata Matysik</w:t>
            </w:r>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9.</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2300-GPTE-M2-EPh</w:t>
            </w:r>
          </w:p>
        </w:tc>
        <w:tc>
          <w:tcPr>
            <w:tcW w:w="3119" w:type="dxa"/>
          </w:tcPr>
          <w:p w:rsidR="005575B3" w:rsidRDefault="00F61D17">
            <w:pPr>
              <w:spacing w:line="259" w:lineRule="auto"/>
              <w:rPr>
                <w:b/>
                <w:sz w:val="24"/>
                <w:szCs w:val="24"/>
              </w:rPr>
            </w:pPr>
            <w:r>
              <w:rPr>
                <w:b/>
                <w:sz w:val="24"/>
                <w:szCs w:val="24"/>
              </w:rPr>
              <w:t>English Phonetic</w:t>
            </w:r>
          </w:p>
          <w:p w:rsidR="005575B3" w:rsidRDefault="00F61D17">
            <w:pPr>
              <w:spacing w:line="259" w:lineRule="auto"/>
            </w:pPr>
            <w:proofErr w:type="spellStart"/>
            <w:r>
              <w:t>mgr</w:t>
            </w:r>
            <w:proofErr w:type="spellEnd"/>
            <w:r>
              <w:t xml:space="preserve"> Małgorzata Matysik</w:t>
            </w:r>
          </w:p>
        </w:tc>
        <w:tc>
          <w:tcPr>
            <w:tcW w:w="7087" w:type="dxa"/>
          </w:tcPr>
          <w:p w:rsidR="005575B3" w:rsidRDefault="00F61D17">
            <w:pPr>
              <w:jc w:val="both"/>
              <w:rPr>
                <w:rFonts w:ascii="Calibri" w:eastAsia="Calibri" w:hAnsi="Calibri" w:cs="Calibri"/>
                <w:sz w:val="22"/>
                <w:szCs w:val="22"/>
              </w:rPr>
            </w:pPr>
            <w:r>
              <w:rPr>
                <w:rFonts w:ascii="Arial" w:eastAsia="Arial" w:hAnsi="Arial" w:cs="Arial"/>
                <w:sz w:val="22"/>
                <w:szCs w:val="22"/>
                <w:highlight w:val="white"/>
              </w:rPr>
              <w:t>The course is aimed at students who are fluent in English and are experienced learners of English; ideally, they know the phonetic transcription as dictionary users and their pronunciation is at least comfortably intelligible.  It is also aimed at native s</w:t>
            </w:r>
            <w:r>
              <w:rPr>
                <w:rFonts w:ascii="Arial" w:eastAsia="Arial" w:hAnsi="Arial" w:cs="Arial"/>
                <w:sz w:val="22"/>
                <w:szCs w:val="22"/>
                <w:highlight w:val="white"/>
              </w:rPr>
              <w:t xml:space="preserve">peakers of English who want to build or improve their awareness of potential pronunciation problems of EFL learners and their skills as EFL </w:t>
            </w:r>
            <w:proofErr w:type="spellStart"/>
            <w:r>
              <w:rPr>
                <w:rFonts w:ascii="Arial" w:eastAsia="Arial" w:hAnsi="Arial" w:cs="Arial"/>
                <w:sz w:val="22"/>
                <w:szCs w:val="22"/>
                <w:highlight w:val="white"/>
              </w:rPr>
              <w:t>teachers.The</w:t>
            </w:r>
            <w:proofErr w:type="spellEnd"/>
            <w:r>
              <w:rPr>
                <w:rFonts w:ascii="Arial" w:eastAsia="Arial" w:hAnsi="Arial" w:cs="Arial"/>
                <w:sz w:val="22"/>
                <w:szCs w:val="22"/>
                <w:highlight w:val="white"/>
              </w:rPr>
              <w:t xml:space="preserve"> main objective of the course is to improve the students’ knowledge of English phonetics develop the ski</w:t>
            </w:r>
            <w:r>
              <w:rPr>
                <w:rFonts w:ascii="Arial" w:eastAsia="Arial" w:hAnsi="Arial" w:cs="Arial"/>
                <w:sz w:val="22"/>
                <w:szCs w:val="22"/>
                <w:highlight w:val="white"/>
              </w:rPr>
              <w:t>ll of teaching English pronunciation to young learners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10.</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2300-J-DWNJA-CLIL</w:t>
            </w:r>
          </w:p>
        </w:tc>
        <w:tc>
          <w:tcPr>
            <w:tcW w:w="3119" w:type="dxa"/>
          </w:tcPr>
          <w:p w:rsidR="005575B3" w:rsidRDefault="00F61D17">
            <w:pPr>
              <w:spacing w:line="259" w:lineRule="auto"/>
              <w:rPr>
                <w:b/>
                <w:sz w:val="24"/>
                <w:szCs w:val="24"/>
              </w:rPr>
            </w:pPr>
            <w:r>
              <w:rPr>
                <w:b/>
                <w:sz w:val="24"/>
                <w:szCs w:val="24"/>
              </w:rPr>
              <w:t xml:space="preserve">Introduction to Content and Language Integrated Learning (CLIL)/ </w:t>
            </w:r>
            <w:proofErr w:type="spellStart"/>
            <w:r>
              <w:rPr>
                <w:b/>
                <w:sz w:val="24"/>
                <w:szCs w:val="24"/>
              </w:rPr>
              <w:t>Wprowadzenie</w:t>
            </w:r>
            <w:proofErr w:type="spellEnd"/>
            <w:r>
              <w:rPr>
                <w:b/>
                <w:sz w:val="24"/>
                <w:szCs w:val="24"/>
              </w:rPr>
              <w:t xml:space="preserve"> do </w:t>
            </w:r>
            <w:proofErr w:type="spellStart"/>
            <w:r>
              <w:rPr>
                <w:b/>
                <w:sz w:val="24"/>
                <w:szCs w:val="24"/>
              </w:rPr>
              <w:t>zintegrowanego</w:t>
            </w:r>
            <w:proofErr w:type="spellEnd"/>
            <w:r>
              <w:rPr>
                <w:b/>
                <w:sz w:val="24"/>
                <w:szCs w:val="24"/>
              </w:rPr>
              <w:t xml:space="preserve"> </w:t>
            </w:r>
            <w:proofErr w:type="spellStart"/>
            <w:r>
              <w:rPr>
                <w:b/>
                <w:sz w:val="24"/>
                <w:szCs w:val="24"/>
              </w:rPr>
              <w:t>nauczania</w:t>
            </w:r>
            <w:proofErr w:type="spellEnd"/>
            <w:r>
              <w:rPr>
                <w:b/>
                <w:sz w:val="24"/>
                <w:szCs w:val="24"/>
              </w:rPr>
              <w:t xml:space="preserve"> </w:t>
            </w:r>
            <w:proofErr w:type="spellStart"/>
            <w:r>
              <w:rPr>
                <w:b/>
                <w:sz w:val="24"/>
                <w:szCs w:val="24"/>
              </w:rPr>
              <w:t>przedmiotowo-językowego</w:t>
            </w:r>
            <w:proofErr w:type="spellEnd"/>
            <w:r>
              <w:rPr>
                <w:b/>
                <w:sz w:val="24"/>
                <w:szCs w:val="24"/>
              </w:rPr>
              <w:t xml:space="preserve"> (CLIL)</w:t>
            </w:r>
          </w:p>
          <w:p w:rsidR="005575B3" w:rsidRDefault="00F61D17">
            <w:pPr>
              <w:spacing w:line="259" w:lineRule="auto"/>
            </w:pPr>
            <w:proofErr w:type="spellStart"/>
            <w:r>
              <w:t>mgr</w:t>
            </w:r>
            <w:proofErr w:type="spellEnd"/>
            <w:r>
              <w:t xml:space="preserve"> </w:t>
            </w:r>
            <w:proofErr w:type="spellStart"/>
            <w:r>
              <w:t>Marzena</w:t>
            </w:r>
            <w:proofErr w:type="spellEnd"/>
            <w:r>
              <w:t xml:space="preserve"> </w:t>
            </w:r>
            <w:proofErr w:type="spellStart"/>
            <w:r>
              <w:t>Pepłowska</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This course focuses on the integration of teaching English with other subject areas in pre-primary and lower-primary education. It aims at developing the skills of teaching specific content areas through the medium of English and the skills of developing n</w:t>
            </w:r>
            <w:r>
              <w:rPr>
                <w:rFonts w:ascii="Arial" w:eastAsia="Arial" w:hAnsi="Arial" w:cs="Arial"/>
                <w:sz w:val="22"/>
                <w:szCs w:val="22"/>
                <w:highlight w:val="white"/>
              </w:rPr>
              <w:t>on-linguistic skills while teaching English. It will also equip trainees with theoretical knowledge regarding the main concepts of CLIL-oriented teaching models in different European countries and give an insight into the practice of introducing CLIL in th</w:t>
            </w:r>
            <w:r>
              <w:rPr>
                <w:rFonts w:ascii="Arial" w:eastAsia="Arial" w:hAnsi="Arial" w:cs="Arial"/>
                <w:sz w:val="22"/>
                <w:szCs w:val="22"/>
                <w:highlight w:val="white"/>
              </w:rPr>
              <w:t>e Polish educational context.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11.</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2300-GPTE-M1-InCLIL</w:t>
            </w:r>
          </w:p>
        </w:tc>
        <w:tc>
          <w:tcPr>
            <w:tcW w:w="3119" w:type="dxa"/>
          </w:tcPr>
          <w:p w:rsidR="005575B3" w:rsidRDefault="00F61D17">
            <w:pPr>
              <w:spacing w:line="259" w:lineRule="auto"/>
              <w:rPr>
                <w:b/>
                <w:sz w:val="24"/>
                <w:szCs w:val="24"/>
              </w:rPr>
            </w:pPr>
            <w:r>
              <w:rPr>
                <w:b/>
                <w:sz w:val="24"/>
                <w:szCs w:val="24"/>
              </w:rPr>
              <w:t>Introduction to CLIL</w:t>
            </w:r>
          </w:p>
          <w:p w:rsidR="005575B3" w:rsidRDefault="00F61D17">
            <w:pPr>
              <w:spacing w:line="259" w:lineRule="auto"/>
              <w:rPr>
                <w:b/>
                <w:sz w:val="24"/>
                <w:szCs w:val="24"/>
              </w:rPr>
            </w:pPr>
            <w:proofErr w:type="spellStart"/>
            <w:r>
              <w:t>dr</w:t>
            </w:r>
            <w:proofErr w:type="spellEnd"/>
            <w:r>
              <w:t xml:space="preserve"> Katarzyna Brzosko-Barratt</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aim of the course is to introduce students to Content and Language Introduction CLIL. In this course students familiarize themselves with the fundamental features of CLIL and the rationale behind CLIL, specifically in primary grades. Throughout the cou</w:t>
            </w:r>
            <w:r>
              <w:rPr>
                <w:rFonts w:ascii="Arial" w:eastAsia="Arial" w:hAnsi="Arial" w:cs="Arial"/>
                <w:sz w:val="22"/>
                <w:szCs w:val="22"/>
                <w:highlight w:val="white"/>
              </w:rPr>
              <w:t>rse students are acquainted with the practical aspects of CLIL teaching. They have  opportunities to plan CLIL activities, lessons and larger units. They also create CLIL materials for primary students.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12.</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2300-GPTE-M1-LD</w:t>
            </w:r>
          </w:p>
        </w:tc>
        <w:tc>
          <w:tcPr>
            <w:tcW w:w="3119" w:type="dxa"/>
          </w:tcPr>
          <w:p w:rsidR="005575B3" w:rsidRDefault="00F61D17">
            <w:pPr>
              <w:spacing w:line="259" w:lineRule="auto"/>
              <w:rPr>
                <w:b/>
                <w:sz w:val="24"/>
                <w:szCs w:val="24"/>
              </w:rPr>
            </w:pPr>
            <w:r>
              <w:rPr>
                <w:b/>
                <w:sz w:val="24"/>
                <w:szCs w:val="24"/>
              </w:rPr>
              <w:t>Literature and Drama in ELT</w:t>
            </w:r>
          </w:p>
          <w:p w:rsidR="005575B3" w:rsidRDefault="00F61D17">
            <w:pPr>
              <w:spacing w:line="259" w:lineRule="auto"/>
            </w:pPr>
            <w:proofErr w:type="spellStart"/>
            <w:r>
              <w:t>dr</w:t>
            </w:r>
            <w:proofErr w:type="spellEnd"/>
            <w:r>
              <w:t xml:space="preserve"> Katarzyna Brzosko-Barratt</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The aims will be achieved through the </w:t>
            </w:r>
            <w:proofErr w:type="spellStart"/>
            <w:r>
              <w:rPr>
                <w:rFonts w:ascii="Arial" w:eastAsia="Arial" w:hAnsi="Arial" w:cs="Arial"/>
                <w:sz w:val="22"/>
                <w:szCs w:val="22"/>
                <w:highlight w:val="white"/>
              </w:rPr>
              <w:t>programme</w:t>
            </w:r>
            <w:proofErr w:type="spellEnd"/>
            <w:r>
              <w:rPr>
                <w:rFonts w:ascii="Arial" w:eastAsia="Arial" w:hAnsi="Arial" w:cs="Arial"/>
                <w:sz w:val="22"/>
                <w:szCs w:val="22"/>
                <w:highlight w:val="white"/>
              </w:rPr>
              <w:t xml:space="preserve"> that includes the following topics: </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Storytelling with children</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Wordless picture books as a tool of developing pre-literacy skills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How to choose a good book for my ELT class?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Drama as a tool of introducing literature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Classic English nursery rhymes, children’s verse, poetry</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13.</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2300-OTR/44a/PD</w:t>
            </w:r>
          </w:p>
        </w:tc>
        <w:tc>
          <w:tcPr>
            <w:tcW w:w="3119" w:type="dxa"/>
          </w:tcPr>
          <w:p w:rsidR="005575B3" w:rsidRDefault="00F61D17">
            <w:pPr>
              <w:spacing w:line="259" w:lineRule="auto"/>
              <w:rPr>
                <w:b/>
                <w:sz w:val="24"/>
                <w:szCs w:val="24"/>
              </w:rPr>
            </w:pPr>
            <w:r>
              <w:rPr>
                <w:b/>
                <w:sz w:val="24"/>
                <w:szCs w:val="24"/>
              </w:rPr>
              <w:t>Pedagogical Diagnosis</w:t>
            </w:r>
          </w:p>
        </w:tc>
        <w:tc>
          <w:tcPr>
            <w:tcW w:w="7087" w:type="dxa"/>
          </w:tcPr>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14.</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2300-OTR/44a/PD</w:t>
            </w:r>
          </w:p>
        </w:tc>
        <w:tc>
          <w:tcPr>
            <w:tcW w:w="3119" w:type="dxa"/>
          </w:tcPr>
          <w:p w:rsidR="005575B3" w:rsidRDefault="00F61D17">
            <w:pPr>
              <w:spacing w:line="259" w:lineRule="auto"/>
              <w:rPr>
                <w:b/>
                <w:sz w:val="24"/>
                <w:szCs w:val="24"/>
              </w:rPr>
            </w:pPr>
            <w:r>
              <w:rPr>
                <w:b/>
                <w:sz w:val="24"/>
                <w:szCs w:val="24"/>
              </w:rPr>
              <w:t>Professional and Academic Discourse</w:t>
            </w:r>
          </w:p>
          <w:p w:rsidR="005575B3" w:rsidRDefault="00F61D17">
            <w:pPr>
              <w:spacing w:line="259" w:lineRule="auto"/>
            </w:pPr>
            <w:proofErr w:type="spellStart"/>
            <w:r>
              <w:t>mgr</w:t>
            </w:r>
            <w:proofErr w:type="spellEnd"/>
            <w:r>
              <w:t xml:space="preserve"> Joshua </w:t>
            </w:r>
            <w:proofErr w:type="spellStart"/>
            <w:r>
              <w:t>Skjold</w:t>
            </w:r>
            <w:proofErr w:type="spellEnd"/>
          </w:p>
          <w:p w:rsidR="005575B3" w:rsidRDefault="005575B3">
            <w:pPr>
              <w:spacing w:line="259" w:lineRule="auto"/>
              <w:rPr>
                <w:b/>
                <w:sz w:val="24"/>
                <w:szCs w:val="24"/>
              </w:rPr>
            </w:pPr>
          </w:p>
          <w:p w:rsidR="005575B3" w:rsidRDefault="00F61D17">
            <w:pPr>
              <w:spacing w:line="259" w:lineRule="auto"/>
              <w:rPr>
                <w:b/>
                <w:color w:val="CC0000"/>
                <w:sz w:val="24"/>
                <w:szCs w:val="24"/>
              </w:rPr>
            </w:pPr>
            <w:r>
              <w:rPr>
                <w:b/>
                <w:color w:val="CC0000"/>
                <w:sz w:val="24"/>
                <w:szCs w:val="24"/>
              </w:rPr>
              <w:t>all year long</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w:t>
            </w:r>
            <w:r>
              <w:rPr>
                <w:rFonts w:ascii="Arial" w:eastAsia="Arial" w:hAnsi="Arial" w:cs="Arial"/>
                <w:sz w:val="22"/>
                <w:szCs w:val="22"/>
                <w:highlight w:val="white"/>
              </w:rPr>
              <w:t xml:space="preserve"> of presenting research, take part in discussions at the academic level.</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15.</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2300-GPTE-M5-GE-SE</w:t>
            </w:r>
          </w:p>
        </w:tc>
        <w:tc>
          <w:tcPr>
            <w:tcW w:w="3119" w:type="dxa"/>
          </w:tcPr>
          <w:p w:rsidR="005575B3" w:rsidRDefault="00F61D17">
            <w:pPr>
              <w:spacing w:line="259" w:lineRule="auto"/>
              <w:rPr>
                <w:b/>
                <w:sz w:val="24"/>
                <w:szCs w:val="24"/>
              </w:rPr>
            </w:pPr>
            <w:r>
              <w:rPr>
                <w:b/>
                <w:sz w:val="24"/>
                <w:szCs w:val="24"/>
              </w:rPr>
              <w:t>Special education</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Different types of learning difficulties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Dyslexia (auditory and visual processing) and dyscalculia</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 Autism and Asperger's Syndrome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 ADHD/ ADD/ Dyspraxia</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Speech and language difficulties/ Sensory Integration Disorder</w:t>
            </w:r>
          </w:p>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16.</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2300-J-DWNJA-WT</w:t>
            </w:r>
          </w:p>
        </w:tc>
        <w:tc>
          <w:tcPr>
            <w:tcW w:w="3119" w:type="dxa"/>
          </w:tcPr>
          <w:p w:rsidR="005575B3" w:rsidRDefault="00F61D17">
            <w:pPr>
              <w:spacing w:line="259" w:lineRule="auto"/>
              <w:rPr>
                <w:b/>
                <w:sz w:val="24"/>
                <w:szCs w:val="24"/>
              </w:rPr>
            </w:pPr>
            <w:r>
              <w:rPr>
                <w:b/>
                <w:sz w:val="24"/>
                <w:szCs w:val="24"/>
              </w:rPr>
              <w:t>Selected techniques of teaching English to children/</w:t>
            </w:r>
          </w:p>
          <w:p w:rsidR="005575B3" w:rsidRDefault="00F61D17">
            <w:pPr>
              <w:spacing w:line="259" w:lineRule="auto"/>
              <w:rPr>
                <w:b/>
                <w:sz w:val="24"/>
                <w:szCs w:val="24"/>
              </w:rPr>
            </w:pPr>
            <w:proofErr w:type="spellStart"/>
            <w:r>
              <w:rPr>
                <w:b/>
                <w:sz w:val="24"/>
                <w:szCs w:val="24"/>
              </w:rPr>
              <w:t>Wybrane</w:t>
            </w:r>
            <w:proofErr w:type="spellEnd"/>
            <w:r>
              <w:rPr>
                <w:b/>
                <w:sz w:val="24"/>
                <w:szCs w:val="24"/>
              </w:rPr>
              <w:t xml:space="preserve"> </w:t>
            </w:r>
            <w:proofErr w:type="spellStart"/>
            <w:r>
              <w:rPr>
                <w:b/>
                <w:sz w:val="24"/>
                <w:szCs w:val="24"/>
              </w:rPr>
              <w:t>techniki</w:t>
            </w:r>
            <w:proofErr w:type="spellEnd"/>
            <w:r>
              <w:rPr>
                <w:b/>
                <w:sz w:val="24"/>
                <w:szCs w:val="24"/>
              </w:rPr>
              <w:t xml:space="preserve"> </w:t>
            </w:r>
            <w:proofErr w:type="spellStart"/>
            <w:r>
              <w:rPr>
                <w:b/>
                <w:sz w:val="24"/>
                <w:szCs w:val="24"/>
              </w:rPr>
              <w:t>pracy</w:t>
            </w:r>
            <w:proofErr w:type="spellEnd"/>
            <w:r>
              <w:rPr>
                <w:b/>
                <w:sz w:val="24"/>
                <w:szCs w:val="24"/>
              </w:rPr>
              <w:t xml:space="preserve"> </w:t>
            </w:r>
            <w:proofErr w:type="spellStart"/>
            <w:r>
              <w:rPr>
                <w:b/>
                <w:sz w:val="24"/>
                <w:szCs w:val="24"/>
              </w:rPr>
              <w:t>na</w:t>
            </w:r>
            <w:proofErr w:type="spellEnd"/>
            <w:r>
              <w:rPr>
                <w:b/>
                <w:sz w:val="24"/>
                <w:szCs w:val="24"/>
              </w:rPr>
              <w:t xml:space="preserve"> </w:t>
            </w:r>
            <w:proofErr w:type="spellStart"/>
            <w:r>
              <w:rPr>
                <w:b/>
                <w:sz w:val="24"/>
                <w:szCs w:val="24"/>
              </w:rPr>
              <w:t>lekcjach</w:t>
            </w:r>
            <w:proofErr w:type="spellEnd"/>
            <w:r>
              <w:rPr>
                <w:b/>
                <w:sz w:val="24"/>
                <w:szCs w:val="24"/>
              </w:rPr>
              <w:t xml:space="preserve"> </w:t>
            </w:r>
            <w:proofErr w:type="spellStart"/>
            <w:r>
              <w:rPr>
                <w:b/>
                <w:sz w:val="24"/>
                <w:szCs w:val="24"/>
              </w:rPr>
              <w:t>języka</w:t>
            </w:r>
            <w:proofErr w:type="spellEnd"/>
            <w:r>
              <w:rPr>
                <w:b/>
                <w:sz w:val="24"/>
                <w:szCs w:val="24"/>
              </w:rPr>
              <w:t xml:space="preserve"> </w:t>
            </w:r>
            <w:proofErr w:type="spellStart"/>
            <w:r>
              <w:rPr>
                <w:b/>
                <w:sz w:val="24"/>
                <w:szCs w:val="24"/>
              </w:rPr>
              <w:t>angielskiego</w:t>
            </w:r>
            <w:proofErr w:type="spellEnd"/>
          </w:p>
          <w:p w:rsidR="005575B3" w:rsidRDefault="00F61D17">
            <w:pPr>
              <w:spacing w:line="259" w:lineRule="auto"/>
            </w:pPr>
            <w:proofErr w:type="spellStart"/>
            <w:r>
              <w:t>dr</w:t>
            </w:r>
            <w:proofErr w:type="spellEnd"/>
            <w:r>
              <w:t xml:space="preserve"> Kamila Wichrowska</w:t>
            </w:r>
          </w:p>
          <w:p w:rsidR="005575B3" w:rsidRDefault="00F61D17">
            <w:pPr>
              <w:spacing w:line="259" w:lineRule="auto"/>
            </w:pPr>
            <w:proofErr w:type="spellStart"/>
            <w:r>
              <w:t>mgr</w:t>
            </w:r>
            <w:proofErr w:type="spellEnd"/>
            <w:r>
              <w:t xml:space="preserve"> Joanna </w:t>
            </w:r>
            <w:proofErr w:type="spellStart"/>
            <w:r>
              <w:t>Głogowska</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main aim of the course is to prepare students to teach English to preschool and early primary school children. The content learnt in the course will allow students to create activities that develop all basic language skills. During</w:t>
            </w:r>
            <w:r>
              <w:rPr>
                <w:rFonts w:ascii="Arial" w:eastAsia="Arial" w:hAnsi="Arial" w:cs="Arial"/>
                <w:sz w:val="22"/>
                <w:szCs w:val="22"/>
                <w:highlight w:val="white"/>
              </w:rPr>
              <w:t xml:space="preserve"> the course, students will be introduced to relevant language teaching techniques such as storytelling, educational projects, drama and modern technologies. Students have the opportunity to observe lessons, create and </w:t>
            </w:r>
            <w:proofErr w:type="spellStart"/>
            <w:r>
              <w:rPr>
                <w:rFonts w:ascii="Arial" w:eastAsia="Arial" w:hAnsi="Arial" w:cs="Arial"/>
                <w:sz w:val="22"/>
                <w:szCs w:val="22"/>
                <w:highlight w:val="white"/>
              </w:rPr>
              <w:t>practise</w:t>
            </w:r>
            <w:proofErr w:type="spellEnd"/>
            <w:r>
              <w:rPr>
                <w:rFonts w:ascii="Arial" w:eastAsia="Arial" w:hAnsi="Arial" w:cs="Arial"/>
                <w:sz w:val="22"/>
                <w:szCs w:val="22"/>
                <w:highlight w:val="white"/>
              </w:rPr>
              <w:t xml:space="preserve"> activities using selected tec</w:t>
            </w:r>
            <w:r>
              <w:rPr>
                <w:rFonts w:ascii="Arial" w:eastAsia="Arial" w:hAnsi="Arial" w:cs="Arial"/>
                <w:sz w:val="22"/>
                <w:szCs w:val="22"/>
                <w:highlight w:val="white"/>
              </w:rPr>
              <w:t>hniques.</w:t>
            </w:r>
          </w:p>
          <w:p w:rsidR="005575B3" w:rsidRDefault="005575B3">
            <w:pPr>
              <w:jc w:val="both"/>
              <w:rPr>
                <w:rFonts w:ascii="Arial" w:eastAsia="Arial" w:hAnsi="Arial" w:cs="Arial"/>
                <w:sz w:val="22"/>
                <w:szCs w:val="22"/>
                <w:highlight w:val="white"/>
              </w:rPr>
            </w:pPr>
          </w:p>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17.</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2300-GPTE-M1-TEYL</w:t>
            </w:r>
          </w:p>
        </w:tc>
        <w:tc>
          <w:tcPr>
            <w:tcW w:w="3119" w:type="dxa"/>
          </w:tcPr>
          <w:p w:rsidR="005575B3" w:rsidRDefault="00F61D17">
            <w:pPr>
              <w:spacing w:line="259" w:lineRule="auto"/>
              <w:rPr>
                <w:b/>
                <w:sz w:val="24"/>
                <w:szCs w:val="24"/>
              </w:rPr>
            </w:pPr>
            <w:r>
              <w:rPr>
                <w:b/>
                <w:sz w:val="24"/>
                <w:szCs w:val="24"/>
              </w:rPr>
              <w:t>Teaching English to Young Learner</w:t>
            </w:r>
          </w:p>
          <w:p w:rsidR="005575B3" w:rsidRDefault="00F61D17">
            <w:pPr>
              <w:spacing w:line="259" w:lineRule="auto"/>
              <w:rPr>
                <w:b/>
                <w:sz w:val="24"/>
                <w:szCs w:val="24"/>
              </w:rPr>
            </w:pPr>
            <w:proofErr w:type="spellStart"/>
            <w:r>
              <w:t>mgr</w:t>
            </w:r>
            <w:proofErr w:type="spellEnd"/>
            <w:r>
              <w:t xml:space="preserve"> Joanna </w:t>
            </w:r>
            <w:proofErr w:type="spellStart"/>
            <w:r>
              <w:t>Głogowsk</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This two-semester course focuses on the practical preparation of the participants for the profession of an English language teacher in the pre-primary and primary education. The meetings are organized along two main paths: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lastRenderedPageBreak/>
              <w:t>1.     They provide the participa</w:t>
            </w:r>
            <w:r>
              <w:rPr>
                <w:rFonts w:ascii="Arial" w:eastAsia="Arial" w:hAnsi="Arial" w:cs="Arial"/>
                <w:sz w:val="22"/>
                <w:szCs w:val="22"/>
                <w:highlight w:val="white"/>
              </w:rPr>
              <w:t>nts with the opportunities to develop their didactic workshop through the exchange of their pre-studies and current teaching experiences (form: short micro-teaching sessions). Many a times, in a multi-lingual group, the participants may find it interesting</w:t>
            </w:r>
            <w:r>
              <w:rPr>
                <w:rFonts w:ascii="Arial" w:eastAsia="Arial" w:hAnsi="Arial" w:cs="Arial"/>
                <w:sz w:val="22"/>
                <w:szCs w:val="22"/>
                <w:highlight w:val="white"/>
              </w:rPr>
              <w:t xml:space="preserve"> to teach elements of their mother tongues to the rest of the group or the Polish students may teach Polish to foreigners – to experience the actual state of “not knowing”, uncertainty and inability to comprehend the spoken language being used for the firs</w:t>
            </w:r>
            <w:r>
              <w:rPr>
                <w:rFonts w:ascii="Arial" w:eastAsia="Arial" w:hAnsi="Arial" w:cs="Arial"/>
                <w:sz w:val="22"/>
                <w:szCs w:val="22"/>
                <w:highlight w:val="white"/>
              </w:rPr>
              <w:t>t time and in this way to empathize with the young learners’ perception of a foreign language.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2.    They also¬ enrich the participants’ theoretical knowledge of a variety of ELT issues related to young learners’ development.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18.</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2300-GPTE-M1-TLBS</w:t>
            </w:r>
          </w:p>
        </w:tc>
        <w:tc>
          <w:tcPr>
            <w:tcW w:w="3119" w:type="dxa"/>
          </w:tcPr>
          <w:p w:rsidR="005575B3" w:rsidRDefault="00F61D17">
            <w:pPr>
              <w:spacing w:line="259" w:lineRule="auto"/>
              <w:rPr>
                <w:b/>
                <w:sz w:val="24"/>
                <w:szCs w:val="24"/>
              </w:rPr>
            </w:pPr>
            <w:r>
              <w:rPr>
                <w:b/>
                <w:sz w:val="24"/>
                <w:szCs w:val="24"/>
              </w:rPr>
              <w:t>Teaching Literacy in Bilingual Setting</w:t>
            </w:r>
          </w:p>
          <w:p w:rsidR="005575B3" w:rsidRDefault="005575B3">
            <w:pPr>
              <w:spacing w:line="259" w:lineRule="auto"/>
              <w:rPr>
                <w:b/>
                <w:sz w:val="24"/>
                <w:szCs w:val="24"/>
              </w:rPr>
            </w:pPr>
          </w:p>
          <w:p w:rsidR="005575B3" w:rsidRDefault="00F61D17">
            <w:pPr>
              <w:spacing w:after="160" w:line="256" w:lineRule="auto"/>
              <w:rPr>
                <w:sz w:val="18"/>
                <w:szCs w:val="18"/>
              </w:rPr>
            </w:pPr>
            <w:proofErr w:type="spellStart"/>
            <w:r>
              <w:rPr>
                <w:color w:val="222222"/>
                <w:highlight w:val="white"/>
              </w:rPr>
              <w:t>Dr</w:t>
            </w:r>
            <w:proofErr w:type="spellEnd"/>
            <w:r>
              <w:rPr>
                <w:color w:val="222222"/>
                <w:highlight w:val="white"/>
              </w:rPr>
              <w:t xml:space="preserve"> hab.</w:t>
            </w:r>
            <w:r>
              <w:rPr>
                <w:rFonts w:ascii="Arial" w:eastAsia="Arial" w:hAnsi="Arial" w:cs="Arial"/>
                <w:color w:val="222222"/>
                <w:highlight w:val="white"/>
              </w:rPr>
              <w:t xml:space="preserve"> </w:t>
            </w:r>
            <w:proofErr w:type="spellStart"/>
            <w:r>
              <w:rPr>
                <w:sz w:val="22"/>
                <w:szCs w:val="22"/>
              </w:rPr>
              <w:t>Zbigniew</w:t>
            </w:r>
            <w:proofErr w:type="spellEnd"/>
            <w:r>
              <w:rPr>
                <w:sz w:val="22"/>
                <w:szCs w:val="22"/>
              </w:rPr>
              <w:t xml:space="preserve"> </w:t>
            </w:r>
            <w:proofErr w:type="spellStart"/>
            <w:r>
              <w:rPr>
                <w:sz w:val="22"/>
                <w:szCs w:val="22"/>
              </w:rPr>
              <w:t>Możejko</w:t>
            </w:r>
            <w:proofErr w:type="spellEnd"/>
            <w:r>
              <w:rPr>
                <w:sz w:val="22"/>
                <w:szCs w:val="22"/>
              </w:rPr>
              <w:t xml:space="preserve">, </w:t>
            </w:r>
            <w:proofErr w:type="spellStart"/>
            <w:r>
              <w:rPr>
                <w:sz w:val="22"/>
                <w:szCs w:val="22"/>
              </w:rPr>
              <w:t>prof.UW</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course is intended to offer an overview of teaching literacy in bilingual settings. The course falls naturally into two major parts devoted to the two facets of literacy: to reading and writing, however it also demonstrates the application of the conce</w:t>
            </w:r>
            <w:r>
              <w:rPr>
                <w:rFonts w:ascii="Arial" w:eastAsia="Arial" w:hAnsi="Arial" w:cs="Arial"/>
                <w:sz w:val="22"/>
                <w:szCs w:val="22"/>
                <w:highlight w:val="white"/>
              </w:rPr>
              <w:t>pt of literacy to the remaining two skills, to speaking and listening. The course explores the pedagogy of teaching reading in L1 and in L2, drawing on cross-linguistic similarities and differences between reading in L1 and reading in English, with the bot</w:t>
            </w:r>
            <w:r>
              <w:rPr>
                <w:rFonts w:ascii="Arial" w:eastAsia="Arial" w:hAnsi="Arial" w:cs="Arial"/>
                <w:sz w:val="22"/>
                <w:szCs w:val="22"/>
                <w:highlight w:val="white"/>
              </w:rPr>
              <w:t>tom line being that reading strategies, as part of regular LLS (language learning strategies) undergoes strategy training and can be transferred across languages. Having examined the interplay of SES, race and ethnicity on readership, we then move on to im</w:t>
            </w:r>
            <w:r>
              <w:rPr>
                <w:rFonts w:ascii="Arial" w:eastAsia="Arial" w:hAnsi="Arial" w:cs="Arial"/>
                <w:sz w:val="22"/>
                <w:szCs w:val="22"/>
                <w:highlight w:val="white"/>
              </w:rPr>
              <w:t>plementing reading in the bilingual classroom, including storytelling and simplified readers.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right="-5" w:hanging="720"/>
              <w:jc w:val="both"/>
              <w:rPr>
                <w:rFonts w:ascii="Calibri" w:eastAsia="Calibri" w:hAnsi="Calibri" w:cs="Calibri"/>
                <w:sz w:val="22"/>
                <w:szCs w:val="22"/>
              </w:rPr>
            </w:pPr>
            <w:r>
              <w:rPr>
                <w:rFonts w:ascii="Calibri" w:eastAsia="Calibri" w:hAnsi="Calibri" w:cs="Calibri"/>
                <w:sz w:val="22"/>
                <w:szCs w:val="22"/>
              </w:rPr>
              <w:t>19.</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2300-GPTE-VEA</w:t>
            </w:r>
          </w:p>
        </w:tc>
        <w:tc>
          <w:tcPr>
            <w:tcW w:w="3119" w:type="dxa"/>
          </w:tcPr>
          <w:p w:rsidR="005575B3" w:rsidRDefault="00F61D17">
            <w:pPr>
              <w:spacing w:line="259" w:lineRule="auto"/>
              <w:rPr>
                <w:b/>
                <w:sz w:val="24"/>
                <w:szCs w:val="24"/>
              </w:rPr>
            </w:pPr>
            <w:r>
              <w:rPr>
                <w:b/>
                <w:sz w:val="24"/>
                <w:szCs w:val="24"/>
              </w:rPr>
              <w:t>Voice emission and articulation</w:t>
            </w:r>
          </w:p>
          <w:p w:rsidR="005575B3" w:rsidRDefault="00F61D17">
            <w:pPr>
              <w:spacing w:line="259" w:lineRule="auto"/>
            </w:pPr>
            <w:proofErr w:type="spellStart"/>
            <w:r>
              <w:t>mgr</w:t>
            </w:r>
            <w:proofErr w:type="spellEnd"/>
            <w:r>
              <w:t xml:space="preserve"> Joshua </w:t>
            </w:r>
            <w:proofErr w:type="spellStart"/>
            <w:r>
              <w:t>Skjold</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Voice emission for pedagogues is a cycle of trainings, in which the main goal is to make students aware of their individual manners of shaping their vocal processes and develop correct emission models. The classes aim to teach how the voice can become your</w:t>
            </w:r>
            <w:r>
              <w:rPr>
                <w:rFonts w:ascii="Arial" w:eastAsia="Arial" w:hAnsi="Arial" w:cs="Arial"/>
                <w:sz w:val="22"/>
                <w:szCs w:val="22"/>
                <w:highlight w:val="white"/>
              </w:rPr>
              <w:t xml:space="preserve"> conscious tool in your future job.</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 xml:space="preserve">20. </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2300-OTR/46/QEHE</w:t>
            </w:r>
          </w:p>
        </w:tc>
        <w:tc>
          <w:tcPr>
            <w:tcW w:w="3119" w:type="dxa"/>
          </w:tcPr>
          <w:p w:rsidR="005575B3" w:rsidRDefault="00F61D17">
            <w:pPr>
              <w:spacing w:line="259" w:lineRule="auto"/>
              <w:rPr>
                <w:b/>
                <w:sz w:val="24"/>
                <w:szCs w:val="24"/>
              </w:rPr>
            </w:pPr>
            <w:r>
              <w:rPr>
                <w:b/>
                <w:sz w:val="24"/>
                <w:szCs w:val="24"/>
              </w:rPr>
              <w:t>Quality of Early Childhood Education and Care, B2+</w:t>
            </w:r>
          </w:p>
        </w:tc>
        <w:tc>
          <w:tcPr>
            <w:tcW w:w="7087" w:type="dxa"/>
          </w:tcPr>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bl>
    <w:p w:rsidR="005575B3" w:rsidRDefault="005575B3">
      <w:pPr>
        <w:pBdr>
          <w:top w:val="nil"/>
          <w:left w:val="nil"/>
          <w:bottom w:val="nil"/>
          <w:right w:val="nil"/>
          <w:between w:val="nil"/>
        </w:pBdr>
        <w:ind w:left="720"/>
        <w:jc w:val="both"/>
        <w:rPr>
          <w:rFonts w:ascii="Calibri" w:eastAsia="Calibri" w:hAnsi="Calibri" w:cs="Calibri"/>
          <w:color w:val="000000"/>
          <w:sz w:val="22"/>
          <w:szCs w:val="22"/>
        </w:rPr>
      </w:pPr>
    </w:p>
    <w:sectPr w:rsidR="005575B3">
      <w:pgSz w:w="16838" w:h="11906" w:orient="landscape"/>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5575B3"/>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12D87-68A3-4FD6-83DF-7E7B28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8482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cp:revision>
  <dcterms:created xsi:type="dcterms:W3CDTF">2023-01-09T13:57:00Z</dcterms:created>
  <dcterms:modified xsi:type="dcterms:W3CDTF">2023-01-09T13:57:00Z</dcterms:modified>
</cp:coreProperties>
</file>